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E2" w:rsidRDefault="009B1CE2" w:rsidP="009B1CE2"/>
    <w:p w:rsidR="00102D17" w:rsidRDefault="00102D17" w:rsidP="009B1CE2"/>
    <w:tbl>
      <w:tblPr>
        <w:tblpPr w:leftFromText="180" w:rightFromText="180" w:bottomFromText="200" w:vertAnchor="text" w:horzAnchor="margin" w:tblpXSpec="center" w:tblpY="-165"/>
        <w:tblW w:w="1009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030"/>
        <w:gridCol w:w="1980"/>
      </w:tblGrid>
      <w:tr w:rsidR="00102D17" w:rsidRPr="007007B1" w:rsidTr="00594F42">
        <w:trPr>
          <w:trHeight w:val="1233"/>
        </w:trPr>
        <w:tc>
          <w:tcPr>
            <w:tcW w:w="2088" w:type="dxa"/>
          </w:tcPr>
          <w:p w:rsidR="00102D17" w:rsidRPr="007007B1" w:rsidRDefault="00102D17" w:rsidP="00594F42"/>
          <w:p w:rsidR="00102D17" w:rsidRPr="007007B1" w:rsidRDefault="00102D17" w:rsidP="00594F42"/>
          <w:p w:rsidR="00102D17" w:rsidRPr="007007B1" w:rsidRDefault="00102D17" w:rsidP="00594F42">
            <w:pPr>
              <w:spacing w:after="0"/>
              <w:jc w:val="center"/>
              <w:rPr>
                <w:b/>
              </w:rPr>
            </w:pPr>
            <w:r w:rsidRPr="007007B1">
              <w:rPr>
                <w:b/>
              </w:rPr>
              <w:t>COMISIA  PENTRU EVALUAREA ŞI</w:t>
            </w:r>
          </w:p>
          <w:p w:rsidR="00102D17" w:rsidRPr="007007B1" w:rsidRDefault="00102D17" w:rsidP="00594F42">
            <w:pPr>
              <w:spacing w:after="0"/>
              <w:jc w:val="center"/>
              <w:rPr>
                <w:b/>
              </w:rPr>
            </w:pPr>
            <w:r w:rsidRPr="007007B1">
              <w:rPr>
                <w:b/>
              </w:rPr>
              <w:t>ASIGURAREA CALITĂŢII</w:t>
            </w:r>
          </w:p>
          <w:p w:rsidR="00102D17" w:rsidRPr="007007B1" w:rsidRDefault="00102D17" w:rsidP="00594F42">
            <w:pPr>
              <w:spacing w:after="0"/>
            </w:pPr>
          </w:p>
          <w:p w:rsidR="00102D17" w:rsidRPr="007007B1" w:rsidRDefault="00102D17" w:rsidP="00594F42"/>
          <w:p w:rsidR="00102D17" w:rsidRPr="007007B1" w:rsidRDefault="00102D17" w:rsidP="00594F42"/>
        </w:tc>
        <w:tc>
          <w:tcPr>
            <w:tcW w:w="6030" w:type="dxa"/>
            <w:vAlign w:val="center"/>
            <w:hideMark/>
          </w:tcPr>
          <w:p w:rsidR="009312A0" w:rsidRPr="004E66C3" w:rsidRDefault="009312A0" w:rsidP="009312A0">
            <w:pPr>
              <w:jc w:val="center"/>
              <w:rPr>
                <w:b/>
                <w:sz w:val="28"/>
                <w:szCs w:val="28"/>
              </w:rPr>
            </w:pPr>
            <w:r w:rsidRPr="004E66C3">
              <w:rPr>
                <w:b/>
                <w:sz w:val="28"/>
                <w:szCs w:val="28"/>
              </w:rPr>
              <w:t>PROCEDURA OPERAŢIONALĂ</w:t>
            </w:r>
          </w:p>
          <w:p w:rsidR="009312A0" w:rsidRPr="004E66C3" w:rsidRDefault="009312A0" w:rsidP="009312A0">
            <w:pPr>
              <w:jc w:val="center"/>
              <w:rPr>
                <w:b/>
                <w:sz w:val="28"/>
                <w:szCs w:val="28"/>
              </w:rPr>
            </w:pPr>
            <w:r w:rsidRPr="004E66C3">
              <w:rPr>
                <w:b/>
                <w:sz w:val="28"/>
                <w:szCs w:val="28"/>
              </w:rPr>
              <w:t>Privind</w:t>
            </w:r>
          </w:p>
          <w:p w:rsidR="00102D17" w:rsidRPr="007007B1" w:rsidRDefault="009312A0" w:rsidP="009312A0">
            <w:pPr>
              <w:jc w:val="center"/>
              <w:rPr>
                <w:b/>
                <w:sz w:val="32"/>
                <w:szCs w:val="32"/>
              </w:rPr>
            </w:pPr>
            <w:r w:rsidRPr="004E66C3">
              <w:rPr>
                <w:b/>
                <w:sz w:val="28"/>
                <w:szCs w:val="28"/>
              </w:rPr>
              <w:t>SOLUŢIONAREA SESIZĂRILOR ŞI RECLAMAŢIILOR</w:t>
            </w:r>
          </w:p>
        </w:tc>
        <w:tc>
          <w:tcPr>
            <w:tcW w:w="1980" w:type="dxa"/>
            <w:vAlign w:val="center"/>
            <w:hideMark/>
          </w:tcPr>
          <w:p w:rsidR="00102D17" w:rsidRPr="007007B1" w:rsidRDefault="00102D17" w:rsidP="00594F42">
            <w:r w:rsidRPr="007007B1">
              <w:t>Editia : I</w:t>
            </w:r>
            <w:bookmarkStart w:id="0" w:name="_GoBack"/>
            <w:bookmarkEnd w:id="0"/>
          </w:p>
          <w:p w:rsidR="00102D17" w:rsidRPr="007007B1" w:rsidRDefault="00102D17" w:rsidP="00594F42">
            <w:r w:rsidRPr="007007B1">
              <w:t>Nr.exemplare</w:t>
            </w:r>
            <w:r w:rsidR="00D14733">
              <w:t>: 2</w:t>
            </w:r>
          </w:p>
          <w:p w:rsidR="00102D17" w:rsidRDefault="00102D17" w:rsidP="00594F42">
            <w:r w:rsidRPr="007007B1">
              <w:t xml:space="preserve">Nr. pagini: </w:t>
            </w:r>
          </w:p>
          <w:p w:rsidR="00421BE6" w:rsidRPr="007007B1" w:rsidRDefault="009312A0" w:rsidP="00594F42">
            <w:r>
              <w:t>COD: P.O. 32</w:t>
            </w:r>
          </w:p>
        </w:tc>
      </w:tr>
    </w:tbl>
    <w:tbl>
      <w:tblPr>
        <w:tblW w:w="8990" w:type="dxa"/>
        <w:jc w:val="center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3119"/>
        <w:gridCol w:w="3502"/>
      </w:tblGrid>
      <w:tr w:rsidR="00421BE6" w:rsidTr="00421BE6">
        <w:trPr>
          <w:trHeight w:val="150"/>
          <w:jc w:val="center"/>
        </w:trPr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1BE6" w:rsidRPr="00E07B07" w:rsidRDefault="00421BE6" w:rsidP="00421BE6">
            <w:pPr>
              <w:spacing w:after="0"/>
              <w:rPr>
                <w:b/>
              </w:rPr>
            </w:pPr>
            <w:r>
              <w:rPr>
                <w:b/>
              </w:rPr>
              <w:t>Elaborat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1BE6" w:rsidRDefault="00421BE6" w:rsidP="006D7417">
            <w:pPr>
              <w:spacing w:after="0"/>
            </w:pPr>
            <w:r>
              <w:t>Prof. Istrate Diana</w:t>
            </w:r>
          </w:p>
        </w:tc>
        <w:tc>
          <w:tcPr>
            <w:tcW w:w="3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21BE6" w:rsidRDefault="00421BE6" w:rsidP="006D7417">
            <w:pPr>
              <w:spacing w:after="0"/>
            </w:pPr>
            <w:r>
              <w:t>Semnătura:</w:t>
            </w:r>
          </w:p>
        </w:tc>
      </w:tr>
      <w:tr w:rsidR="00421BE6" w:rsidTr="00421BE6">
        <w:trPr>
          <w:trHeight w:val="165"/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BE6" w:rsidRDefault="00421BE6" w:rsidP="00421BE6">
            <w:pPr>
              <w:spacing w:after="0"/>
              <w:rPr>
                <w:b/>
              </w:rPr>
            </w:pPr>
            <w:r>
              <w:rPr>
                <w:b/>
              </w:rPr>
              <w:t>Data:</w:t>
            </w:r>
            <w:r w:rsidR="00D14733">
              <w:rPr>
                <w:b/>
              </w:rPr>
              <w:t xml:space="preserve"> 02.09.2014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BE6" w:rsidRDefault="00421BE6" w:rsidP="006D7417">
            <w:pPr>
              <w:spacing w:after="0"/>
            </w:pPr>
          </w:p>
        </w:tc>
        <w:tc>
          <w:tcPr>
            <w:tcW w:w="35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BE6" w:rsidRDefault="00421BE6" w:rsidP="006D7417">
            <w:pPr>
              <w:spacing w:after="0"/>
            </w:pPr>
          </w:p>
        </w:tc>
      </w:tr>
      <w:tr w:rsidR="009B1CE2" w:rsidTr="00421BE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1CE2" w:rsidRPr="00E07B07" w:rsidRDefault="009B1CE2" w:rsidP="00421BE6">
            <w:pPr>
              <w:spacing w:after="0"/>
              <w:rPr>
                <w:b/>
              </w:rPr>
            </w:pPr>
            <w:r w:rsidRPr="00E07B07">
              <w:rPr>
                <w:b/>
              </w:rPr>
              <w:t>Verificat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1CE2" w:rsidRDefault="00421BE6" w:rsidP="006D7417">
            <w:pPr>
              <w:spacing w:after="0"/>
            </w:pPr>
            <w:r>
              <w:t xml:space="preserve">Director prof. </w:t>
            </w:r>
            <w:r w:rsidR="009B1CE2">
              <w:t xml:space="preserve"> 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1CE2" w:rsidRDefault="009B1CE2" w:rsidP="006D7417">
            <w:pPr>
              <w:spacing w:after="0"/>
            </w:pPr>
            <w:r>
              <w:t>Semnătura:</w:t>
            </w:r>
          </w:p>
        </w:tc>
      </w:tr>
      <w:tr w:rsidR="009B1CE2" w:rsidTr="00421BE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1CE2" w:rsidRPr="00E07B07" w:rsidRDefault="009B1CE2" w:rsidP="00421BE6">
            <w:pPr>
              <w:spacing w:after="0"/>
              <w:rPr>
                <w:b/>
              </w:rPr>
            </w:pPr>
            <w:r w:rsidRPr="00E07B07">
              <w:rPr>
                <w:b/>
              </w:rPr>
              <w:t>Aprobat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1CE2" w:rsidRDefault="00421BE6" w:rsidP="006D7417">
            <w:pPr>
              <w:spacing w:after="0"/>
            </w:pPr>
            <w:r>
              <w:t xml:space="preserve">Director prof. </w:t>
            </w:r>
            <w:r w:rsidR="009B1CE2">
              <w:t>Avadanei Daniela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1CE2" w:rsidRDefault="009B1CE2" w:rsidP="006D7417">
            <w:pPr>
              <w:spacing w:after="0"/>
            </w:pPr>
            <w:r>
              <w:t>Semnătura:</w:t>
            </w:r>
          </w:p>
        </w:tc>
      </w:tr>
    </w:tbl>
    <w:p w:rsidR="001324FB" w:rsidRDefault="001324FB" w:rsidP="009B1CE2"/>
    <w:p w:rsidR="00421BE6" w:rsidRPr="001324FB" w:rsidRDefault="00421BE6" w:rsidP="009B1CE2">
      <w:pPr>
        <w:rPr>
          <w:b/>
          <w:sz w:val="24"/>
          <w:szCs w:val="24"/>
        </w:rPr>
      </w:pPr>
      <w:r w:rsidRPr="001324FB">
        <w:rPr>
          <w:b/>
          <w:sz w:val="24"/>
          <w:szCs w:val="24"/>
        </w:rPr>
        <w:t>Lista de difuzare: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322"/>
        <w:gridCol w:w="2323"/>
      </w:tblGrid>
      <w:tr w:rsidR="001324FB" w:rsidRPr="001324FB" w:rsidTr="001324FB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24FB" w:rsidRPr="001324FB" w:rsidRDefault="001324FB" w:rsidP="001324FB">
            <w:pPr>
              <w:jc w:val="center"/>
              <w:rPr>
                <w:b/>
              </w:rPr>
            </w:pPr>
            <w:r w:rsidRPr="001324FB">
              <w:rPr>
                <w:b/>
              </w:rPr>
              <w:t>Exemplar nr.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4FB" w:rsidRPr="001324FB" w:rsidRDefault="001324FB" w:rsidP="001324FB">
            <w:pPr>
              <w:jc w:val="center"/>
              <w:rPr>
                <w:b/>
              </w:rPr>
            </w:pPr>
            <w:r w:rsidRPr="001324FB">
              <w:rPr>
                <w:b/>
              </w:rPr>
              <w:t>Destinatar document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24FB" w:rsidRPr="001324FB" w:rsidRDefault="001324FB" w:rsidP="001324FB">
            <w:pPr>
              <w:jc w:val="center"/>
              <w:rPr>
                <w:b/>
              </w:rPr>
            </w:pPr>
            <w:r w:rsidRPr="001324FB">
              <w:rPr>
                <w:b/>
              </w:rPr>
              <w:t>Data difuzării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4FB" w:rsidRPr="001324FB" w:rsidRDefault="001324FB" w:rsidP="001324FB">
            <w:pPr>
              <w:jc w:val="center"/>
              <w:rPr>
                <w:b/>
              </w:rPr>
            </w:pPr>
            <w:r w:rsidRPr="001324FB">
              <w:rPr>
                <w:b/>
              </w:rPr>
              <w:t>Semnătura de primire</w:t>
            </w:r>
          </w:p>
        </w:tc>
      </w:tr>
      <w:tr w:rsidR="001324FB" w:rsidTr="005B2ADE">
        <w:trPr>
          <w:trHeight w:hRule="exact" w:val="55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24FB" w:rsidRDefault="001324FB" w:rsidP="001324F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5B2ADE" w:rsidRDefault="009312A0" w:rsidP="009312A0">
            <w:pPr>
              <w:rPr>
                <w:b/>
              </w:rPr>
            </w:pPr>
            <w:r>
              <w:t>Director prof. Avadanei Daniela</w:t>
            </w:r>
          </w:p>
        </w:tc>
        <w:tc>
          <w:tcPr>
            <w:tcW w:w="2322" w:type="dxa"/>
            <w:tcBorders>
              <w:top w:val="single" w:sz="12" w:space="0" w:color="auto"/>
            </w:tcBorders>
          </w:tcPr>
          <w:p w:rsidR="001324FB" w:rsidRPr="00D14733" w:rsidRDefault="00D14733" w:rsidP="009B1CE2">
            <w:r w:rsidRPr="00D14733">
              <w:t>09.09.2014</w:t>
            </w:r>
          </w:p>
        </w:tc>
        <w:tc>
          <w:tcPr>
            <w:tcW w:w="2323" w:type="dxa"/>
            <w:tcBorders>
              <w:top w:val="single" w:sz="12" w:space="0" w:color="auto"/>
              <w:right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</w:tr>
      <w:tr w:rsidR="001324FB" w:rsidTr="001324FB">
        <w:trPr>
          <w:trHeight w:hRule="exact" w:val="34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324FB" w:rsidRDefault="001324FB" w:rsidP="001324F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3" w:type="dxa"/>
          </w:tcPr>
          <w:p w:rsidR="001324FB" w:rsidRPr="009312A0" w:rsidRDefault="009312A0" w:rsidP="009B1CE2">
            <w:r>
              <w:t>Consiliul de Administratie</w:t>
            </w:r>
          </w:p>
        </w:tc>
        <w:tc>
          <w:tcPr>
            <w:tcW w:w="2322" w:type="dxa"/>
          </w:tcPr>
          <w:p w:rsidR="001324FB" w:rsidRPr="00D14733" w:rsidRDefault="00D14733" w:rsidP="009B1CE2">
            <w:r w:rsidRPr="00D14733">
              <w:t>09.09.2014</w:t>
            </w:r>
          </w:p>
        </w:tc>
        <w:tc>
          <w:tcPr>
            <w:tcW w:w="2323" w:type="dxa"/>
            <w:tcBorders>
              <w:right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</w:tr>
      <w:tr w:rsidR="001324FB" w:rsidTr="001324FB">
        <w:trPr>
          <w:trHeight w:hRule="exact" w:val="34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324FB" w:rsidRDefault="001324FB" w:rsidP="001324F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3" w:type="dxa"/>
          </w:tcPr>
          <w:p w:rsidR="001324FB" w:rsidRDefault="001324FB" w:rsidP="009B1CE2">
            <w:pPr>
              <w:rPr>
                <w:b/>
              </w:rPr>
            </w:pPr>
          </w:p>
        </w:tc>
        <w:tc>
          <w:tcPr>
            <w:tcW w:w="2322" w:type="dxa"/>
          </w:tcPr>
          <w:p w:rsidR="001324FB" w:rsidRDefault="001324FB" w:rsidP="009B1CE2">
            <w:pPr>
              <w:rPr>
                <w:b/>
              </w:rPr>
            </w:pPr>
          </w:p>
        </w:tc>
        <w:tc>
          <w:tcPr>
            <w:tcW w:w="2323" w:type="dxa"/>
            <w:tcBorders>
              <w:right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</w:tr>
      <w:tr w:rsidR="001324FB" w:rsidTr="001324FB">
        <w:trPr>
          <w:trHeight w:hRule="exact" w:val="340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4FB" w:rsidRDefault="001324FB" w:rsidP="001324F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  <w:tc>
          <w:tcPr>
            <w:tcW w:w="2322" w:type="dxa"/>
            <w:tcBorders>
              <w:bottom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  <w:tc>
          <w:tcPr>
            <w:tcW w:w="2323" w:type="dxa"/>
            <w:tcBorders>
              <w:bottom w:val="single" w:sz="12" w:space="0" w:color="auto"/>
              <w:right w:val="single" w:sz="12" w:space="0" w:color="auto"/>
            </w:tcBorders>
          </w:tcPr>
          <w:p w:rsidR="001324FB" w:rsidRDefault="001324FB" w:rsidP="009B1CE2">
            <w:pPr>
              <w:rPr>
                <w:b/>
              </w:rPr>
            </w:pPr>
          </w:p>
        </w:tc>
      </w:tr>
    </w:tbl>
    <w:p w:rsidR="00421BE6" w:rsidRPr="00421BE6" w:rsidRDefault="00421BE6" w:rsidP="009B1CE2">
      <w:pPr>
        <w:rPr>
          <w:b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260"/>
        <w:gridCol w:w="1980"/>
        <w:gridCol w:w="4320"/>
        <w:gridCol w:w="1980"/>
      </w:tblGrid>
      <w:tr w:rsidR="007007B1" w:rsidRPr="00D05842" w:rsidTr="00FE195D">
        <w:trPr>
          <w:cantSplit/>
          <w:trHeight w:val="674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Revizuire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Data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Persoana responsabilă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Semnătura</w:t>
            </w:r>
          </w:p>
        </w:tc>
      </w:tr>
      <w:tr w:rsidR="007007B1" w:rsidRPr="00D05842" w:rsidTr="00FE195D">
        <w:trPr>
          <w:cantSplit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</w:tr>
      <w:tr w:rsidR="007007B1" w:rsidRPr="00D05842" w:rsidTr="00FE195D">
        <w:trPr>
          <w:cantSplit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2</w:t>
            </w:r>
          </w:p>
        </w:tc>
        <w:tc>
          <w:tcPr>
            <w:tcW w:w="1980" w:type="dxa"/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4320" w:type="dxa"/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</w:tr>
      <w:tr w:rsidR="007007B1" w:rsidRPr="00D05842" w:rsidTr="00FE195D">
        <w:trPr>
          <w:cantSplit/>
          <w:trHeight w:val="225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  <w:hideMark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3</w:t>
            </w:r>
          </w:p>
        </w:tc>
        <w:tc>
          <w:tcPr>
            <w:tcW w:w="1980" w:type="dxa"/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4320" w:type="dxa"/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</w:tr>
      <w:tr w:rsidR="007007B1" w:rsidRPr="00D05842" w:rsidTr="00FE195D">
        <w:trPr>
          <w:cantSplit/>
          <w:trHeight w:val="315"/>
          <w:jc w:val="center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007B1" w:rsidRPr="00D05842" w:rsidRDefault="007007B1" w:rsidP="004068D6">
            <w:pPr>
              <w:spacing w:after="0"/>
              <w:jc w:val="center"/>
              <w:rPr>
                <w:b/>
              </w:rPr>
            </w:pPr>
            <w:r w:rsidRPr="00D05842">
              <w:rPr>
                <w:b/>
              </w:rPr>
              <w:t>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7007B1" w:rsidRPr="00D05842" w:rsidRDefault="007007B1" w:rsidP="004068D6">
            <w:pPr>
              <w:rPr>
                <w:bCs/>
              </w:rPr>
            </w:pPr>
          </w:p>
        </w:tc>
      </w:tr>
    </w:tbl>
    <w:p w:rsidR="009B1CE2" w:rsidRDefault="009B1CE2" w:rsidP="009B1CE2">
      <w:pPr>
        <w:rPr>
          <w:u w:val="single"/>
        </w:rPr>
      </w:pPr>
    </w:p>
    <w:p w:rsidR="009312A0" w:rsidRPr="00403873" w:rsidRDefault="009312A0" w:rsidP="009312A0">
      <w:pPr>
        <w:pStyle w:val="Default"/>
        <w:spacing w:line="360" w:lineRule="auto"/>
        <w:rPr>
          <w:rFonts w:asciiTheme="minorHAnsi" w:hAnsiTheme="minorHAnsi"/>
          <w:b/>
        </w:rPr>
      </w:pPr>
      <w:r w:rsidRPr="00403873">
        <w:rPr>
          <w:rFonts w:asciiTheme="minorHAnsi" w:hAnsiTheme="minorHAnsi"/>
          <w:b/>
        </w:rPr>
        <w:lastRenderedPageBreak/>
        <w:t>CUPRINS</w:t>
      </w:r>
    </w:p>
    <w:p w:rsidR="009312A0" w:rsidRPr="00403873" w:rsidRDefault="009312A0" w:rsidP="009312A0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03873">
        <w:rPr>
          <w:rFonts w:asciiTheme="minorHAnsi" w:hAnsiTheme="minorHAnsi"/>
        </w:rPr>
        <w:t>Scop</w:t>
      </w:r>
    </w:p>
    <w:p w:rsidR="009312A0" w:rsidRPr="00403873" w:rsidRDefault="009312A0" w:rsidP="009312A0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03873">
        <w:rPr>
          <w:rFonts w:asciiTheme="minorHAnsi" w:hAnsiTheme="minorHAnsi"/>
        </w:rPr>
        <w:t>Arie de cuprindere</w:t>
      </w:r>
    </w:p>
    <w:p w:rsidR="009312A0" w:rsidRPr="00403873" w:rsidRDefault="009312A0" w:rsidP="009312A0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03873">
        <w:rPr>
          <w:rFonts w:asciiTheme="minorHAnsi" w:hAnsiTheme="minorHAnsi"/>
        </w:rPr>
        <w:t>Responsabili</w:t>
      </w:r>
    </w:p>
    <w:p w:rsidR="009312A0" w:rsidRPr="00403873" w:rsidRDefault="009312A0" w:rsidP="009312A0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03873">
        <w:rPr>
          <w:rFonts w:asciiTheme="minorHAnsi" w:hAnsiTheme="minorHAnsi"/>
        </w:rPr>
        <w:t>Continut</w:t>
      </w:r>
    </w:p>
    <w:p w:rsidR="009312A0" w:rsidRPr="00403873" w:rsidRDefault="009312A0" w:rsidP="009312A0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03873">
        <w:rPr>
          <w:rFonts w:asciiTheme="minorHAnsi" w:hAnsiTheme="minorHAnsi"/>
        </w:rPr>
        <w:t>Anexe</w:t>
      </w:r>
    </w:p>
    <w:p w:rsidR="009312A0" w:rsidRPr="00403873" w:rsidRDefault="009312A0" w:rsidP="009312A0">
      <w:pPr>
        <w:pStyle w:val="Default"/>
        <w:ind w:left="720"/>
        <w:rPr>
          <w:rFonts w:asciiTheme="minorHAnsi" w:hAnsiTheme="minorHAnsi"/>
        </w:rPr>
      </w:pPr>
    </w:p>
    <w:p w:rsidR="009312A0" w:rsidRPr="00403873" w:rsidRDefault="009312A0" w:rsidP="009312A0">
      <w:pPr>
        <w:pStyle w:val="ListParagraph"/>
        <w:numPr>
          <w:ilvl w:val="0"/>
          <w:numId w:val="9"/>
        </w:numPr>
        <w:contextualSpacing w:val="0"/>
        <w:jc w:val="both"/>
        <w:rPr>
          <w:b/>
          <w:sz w:val="24"/>
          <w:szCs w:val="24"/>
        </w:rPr>
      </w:pPr>
      <w:r w:rsidRPr="00403873">
        <w:rPr>
          <w:b/>
          <w:sz w:val="24"/>
          <w:szCs w:val="24"/>
        </w:rPr>
        <w:t>SCOP</w:t>
      </w:r>
    </w:p>
    <w:p w:rsidR="009312A0" w:rsidRDefault="009312A0" w:rsidP="009312A0">
      <w:pPr>
        <w:pStyle w:val="Default"/>
        <w:spacing w:line="360" w:lineRule="auto"/>
        <w:ind w:firstLine="360"/>
      </w:pPr>
      <w:r>
        <w:rPr>
          <w:rFonts w:asciiTheme="minorHAnsi" w:hAnsiTheme="minorHAnsi"/>
        </w:rPr>
        <w:t>Aceasta procedura are ca scop soluţionarea plângerilor (sesizărilor sau reclamaţiilor) făcute</w:t>
      </w:r>
      <w:r w:rsidRPr="004E66C3">
        <w:rPr>
          <w:rFonts w:asciiTheme="minorHAnsi" w:hAnsiTheme="minorHAnsi"/>
        </w:rPr>
        <w:t xml:space="preserve"> de către un</w:t>
      </w:r>
      <w:r>
        <w:rPr>
          <w:rFonts w:asciiTheme="minorHAnsi" w:hAnsiTheme="minorHAnsi"/>
        </w:rPr>
        <w:t xml:space="preserve"> b</w:t>
      </w:r>
      <w:r w:rsidRPr="004E66C3">
        <w:rPr>
          <w:rFonts w:asciiTheme="minorHAnsi" w:hAnsiTheme="minorHAnsi"/>
        </w:rPr>
        <w:t>eneficiar sau de catre terte persoane, referitoare la un</w:t>
      </w:r>
      <w:r>
        <w:t xml:space="preserve"> membru al echipei de personal sau la produsele/ serviciile furnizate de catre instituție.</w:t>
      </w:r>
    </w:p>
    <w:p w:rsidR="009312A0" w:rsidRDefault="009312A0" w:rsidP="009312A0">
      <w:pPr>
        <w:pStyle w:val="Default"/>
        <w:spacing w:line="360" w:lineRule="auto"/>
        <w:ind w:firstLine="360"/>
      </w:pPr>
    </w:p>
    <w:p w:rsidR="009312A0" w:rsidRDefault="009312A0" w:rsidP="009312A0">
      <w:pPr>
        <w:pStyle w:val="ListParagraph"/>
        <w:numPr>
          <w:ilvl w:val="0"/>
          <w:numId w:val="9"/>
        </w:numPr>
        <w:contextualSpacing w:val="0"/>
        <w:jc w:val="both"/>
        <w:rPr>
          <w:b/>
          <w:sz w:val="24"/>
          <w:szCs w:val="24"/>
        </w:rPr>
      </w:pPr>
      <w:r w:rsidRPr="00403873">
        <w:rPr>
          <w:b/>
          <w:sz w:val="24"/>
          <w:szCs w:val="24"/>
        </w:rPr>
        <w:t>ARIE DE CUPRINDERE</w:t>
      </w:r>
    </w:p>
    <w:p w:rsidR="009312A0" w:rsidRPr="004E66C3" w:rsidRDefault="009312A0" w:rsidP="009312A0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4"/>
          <w:szCs w:val="24"/>
        </w:rPr>
      </w:pPr>
      <w:r w:rsidRPr="004E66C3">
        <w:rPr>
          <w:sz w:val="24"/>
          <w:szCs w:val="24"/>
        </w:rPr>
        <w:t>Prezenta  procedură se aplică tuturor beneficiarilor serviciilor educa</w:t>
      </w:r>
      <w:r w:rsidRPr="004E66C3">
        <w:rPr>
          <w:rFonts w:ascii="Cambria Math" w:hAnsi="Cambria Math"/>
          <w:sz w:val="24"/>
          <w:szCs w:val="24"/>
        </w:rPr>
        <w:t>ț</w:t>
      </w:r>
      <w:r w:rsidRPr="004E66C3">
        <w:rPr>
          <w:sz w:val="24"/>
          <w:szCs w:val="24"/>
        </w:rPr>
        <w:t>ionale oferite de institu</w:t>
      </w:r>
      <w:r w:rsidRPr="004E66C3">
        <w:rPr>
          <w:rFonts w:ascii="Cambria Math" w:hAnsi="Cambria Math"/>
          <w:sz w:val="24"/>
          <w:szCs w:val="24"/>
        </w:rPr>
        <w:t>ț</w:t>
      </w:r>
      <w:r w:rsidRPr="004E66C3">
        <w:rPr>
          <w:sz w:val="24"/>
          <w:szCs w:val="24"/>
        </w:rPr>
        <w:t xml:space="preserve">ie, dar </w:t>
      </w:r>
      <w:r w:rsidRPr="004E66C3">
        <w:rPr>
          <w:rFonts w:ascii="Cambria Math" w:hAnsi="Cambria Math"/>
          <w:sz w:val="24"/>
          <w:szCs w:val="24"/>
        </w:rPr>
        <w:t>ș</w:t>
      </w:r>
      <w:r w:rsidRPr="004E66C3">
        <w:rPr>
          <w:sz w:val="24"/>
          <w:szCs w:val="24"/>
        </w:rPr>
        <w:t xml:space="preserve">i personalului </w:t>
      </w:r>
      <w:r w:rsidRPr="004E66C3">
        <w:rPr>
          <w:rFonts w:ascii="Cambria Math" w:hAnsi="Cambria Math"/>
          <w:sz w:val="24"/>
          <w:szCs w:val="24"/>
        </w:rPr>
        <w:t>ș</w:t>
      </w:r>
      <w:r w:rsidRPr="004E66C3">
        <w:rPr>
          <w:sz w:val="24"/>
          <w:szCs w:val="24"/>
        </w:rPr>
        <w:t>colii.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Pr="004E66C3">
        <w:rPr>
          <w:rFonts w:eastAsia="Times New Roman"/>
          <w:bCs/>
          <w:sz w:val="24"/>
          <w:szCs w:val="24"/>
          <w:u w:val="single"/>
        </w:rPr>
        <w:t>DEFINIŢII ȘI PRESCURTĂRI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  <w:u w:val="single"/>
        </w:rPr>
        <w:t>Sesizare:</w:t>
      </w:r>
      <w:r w:rsidRPr="004E66C3">
        <w:rPr>
          <w:rFonts w:eastAsia="Times New Roman"/>
          <w:sz w:val="24"/>
          <w:szCs w:val="24"/>
        </w:rPr>
        <w:t xml:space="preserve"> formulare făcută în scris ori prin poşta electronică cu privire la lipsa conformităţii</w:t>
      </w:r>
      <w:r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</w:rPr>
        <w:t>produselor/serviciilor educaționale, prin care se aduce la cunoştiinţă o posibilă încălcare a</w:t>
      </w:r>
      <w:r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</w:rPr>
        <w:t>drepturilor şi intereselor beneficiarilor.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  <w:u w:val="single"/>
        </w:rPr>
        <w:t>Reclamaţie:</w:t>
      </w:r>
      <w:r w:rsidRPr="004E66C3">
        <w:rPr>
          <w:rFonts w:eastAsia="Times New Roman"/>
          <w:sz w:val="24"/>
          <w:szCs w:val="24"/>
        </w:rPr>
        <w:t xml:space="preserve"> formulare făcută în scris sau prin poşta electronic privind lipsa conformităţii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>produselor/serviciilor oferite de instituție sau alte încălcări ale drepturilor şi intereselor beneficiarilor şi prin care se solicită pretenţii materiale sau de altă natură .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>LEN Legea Educației Naționale nr.1/2011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>ROI Regulamentul de Ordine Interioară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>CA Consiliul de Administratie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>ISJ Inspectoratul Şcolar al Judeţului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bCs/>
          <w:sz w:val="24"/>
          <w:szCs w:val="24"/>
          <w:u w:val="single"/>
        </w:rPr>
      </w:pPr>
      <w:r w:rsidRPr="004E66C3">
        <w:rPr>
          <w:rFonts w:eastAsia="Times New Roman"/>
          <w:bCs/>
          <w:sz w:val="24"/>
          <w:szCs w:val="24"/>
          <w:u w:val="single"/>
        </w:rPr>
        <w:t>DOCUMENTE DE REFERINŢĂ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4E66C3">
        <w:rPr>
          <w:rFonts w:eastAsia="Times New Roman"/>
          <w:sz w:val="24"/>
          <w:szCs w:val="24"/>
        </w:rPr>
        <w:t xml:space="preserve"> Legea nr. 1/2011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</w:rPr>
        <w:t>ROFUIP</w:t>
      </w:r>
    </w:p>
    <w:p w:rsidR="009312A0" w:rsidRPr="004E66C3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4E66C3">
        <w:rPr>
          <w:rFonts w:eastAsia="Times New Roman"/>
          <w:sz w:val="24"/>
          <w:szCs w:val="24"/>
        </w:rPr>
        <w:t>ROI</w:t>
      </w:r>
    </w:p>
    <w:p w:rsidR="009312A0" w:rsidRDefault="009312A0" w:rsidP="009312A0">
      <w:pPr>
        <w:ind w:left="360"/>
        <w:jc w:val="both"/>
        <w:rPr>
          <w:b/>
          <w:bCs/>
          <w:iCs/>
          <w:sz w:val="24"/>
          <w:szCs w:val="24"/>
        </w:rPr>
      </w:pPr>
    </w:p>
    <w:p w:rsidR="009312A0" w:rsidRDefault="009312A0" w:rsidP="009312A0">
      <w:pPr>
        <w:ind w:left="36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Pr="00A3735E">
        <w:rPr>
          <w:b/>
          <w:bCs/>
          <w:iCs/>
          <w:sz w:val="24"/>
          <w:szCs w:val="24"/>
        </w:rPr>
        <w:t>RESPONSABILI: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- Colectivul managerial;</w:t>
      </w:r>
    </w:p>
    <w:p w:rsidR="009312A0" w:rsidRDefault="009312A0" w:rsidP="009312A0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- Comisia de soluționare a sesizărilor și reclamațiilor.</w:t>
      </w:r>
    </w:p>
    <w:p w:rsidR="009312A0" w:rsidRDefault="009312A0" w:rsidP="009312A0">
      <w:pPr>
        <w:ind w:left="360"/>
        <w:jc w:val="both"/>
        <w:rPr>
          <w:b/>
          <w:bCs/>
          <w:iCs/>
          <w:sz w:val="24"/>
          <w:szCs w:val="24"/>
        </w:rPr>
      </w:pPr>
    </w:p>
    <w:p w:rsidR="009312A0" w:rsidRPr="00403873" w:rsidRDefault="009312A0" w:rsidP="009312A0">
      <w:pPr>
        <w:ind w:left="360"/>
        <w:jc w:val="both"/>
        <w:rPr>
          <w:b/>
          <w:bCs/>
          <w:iCs/>
          <w:sz w:val="24"/>
          <w:szCs w:val="24"/>
        </w:rPr>
      </w:pPr>
      <w:r w:rsidRPr="00403873">
        <w:rPr>
          <w:b/>
          <w:bCs/>
          <w:iCs/>
          <w:sz w:val="24"/>
          <w:szCs w:val="24"/>
        </w:rPr>
        <w:t>4.CONTINUT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Plangerea sub forma de sesizare, reclamatie trebuie sa contina: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a. datele de identificare ale reclamantului inclusiv o adresa oficiala (adresa de domiciliu sau adresa de corespondenta, e-mail, casuta postala, fax, etc.);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b. obiectul plangerii;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c. eventuale dovezi (comunicari scrise).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Plangerea sub forma de sesizare, recl</w:t>
      </w:r>
      <w:r>
        <w:rPr>
          <w:rFonts w:eastAsia="Times New Roman"/>
          <w:sz w:val="24"/>
          <w:szCs w:val="24"/>
        </w:rPr>
        <w:t>amatie trebuie sa fie adresata  directorului unitatii şcolare</w:t>
      </w:r>
      <w:r w:rsidRPr="00A3735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ce</w:t>
      </w:r>
      <w:r w:rsidRPr="00A3735E">
        <w:rPr>
          <w:rFonts w:eastAsia="Times New Roman"/>
          <w:sz w:val="24"/>
          <w:szCs w:val="24"/>
        </w:rPr>
        <w:t xml:space="preserve"> are obligatia de a primi plangerea si de a se asigura de inregistrarea acesteia.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Plangerea sub forma de sesizare, reclamatie se face prin comunicare in scris (posta, fax, email) sau se depune la secretariatul instituției și primește un număr de înregistrare.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Directorul școlii convoacă comisia de soluționare a sesizărilor și reclamațiilor, înștiințează</w:t>
      </w:r>
      <w:r>
        <w:rPr>
          <w:rFonts w:eastAsia="Times New Roman"/>
          <w:sz w:val="24"/>
          <w:szCs w:val="24"/>
        </w:rPr>
        <w:t xml:space="preserve"> </w:t>
      </w:r>
      <w:r w:rsidRPr="00A3735E">
        <w:rPr>
          <w:rFonts w:eastAsia="Times New Roman"/>
          <w:sz w:val="24"/>
          <w:szCs w:val="24"/>
        </w:rPr>
        <w:t>asupra conținutului plângerii ș</w:t>
      </w:r>
      <w:r>
        <w:rPr>
          <w:rFonts w:eastAsia="Times New Roman"/>
          <w:sz w:val="24"/>
          <w:szCs w:val="24"/>
        </w:rPr>
        <w:t>i dele</w:t>
      </w:r>
      <w:r w:rsidRPr="00A3735E">
        <w:rPr>
          <w:rFonts w:eastAsia="Times New Roman"/>
          <w:sz w:val="24"/>
          <w:szCs w:val="24"/>
        </w:rPr>
        <w:t>gă comisia spre rezolvarea plângerii.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Comisia se intruneste la o data si ora stabilite, analizeaza cauza, solicita si obtine, daca e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nevoie, probe sau informatii suplimentare si decide asupra obiectului plangerii – prin consemnarea in procesul verbal al comisiei de analiza.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Coordonatorul Comisiei inmaneaza procesul verbal al comisiei de analiza directorului.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Directorul supune după caz, discuția și aprobarea în Consiliul de Administrație/ Consiliul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>profesoral, a concluziilor din procesul verbal al comisiei de soluționare a plângerii.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O scrisoare cu detalii privind rezultatul investigaţiei şi soluţia propusa și aprobată este trimisă și persoanei care a depus plângerea.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lastRenderedPageBreak/>
        <w:t xml:space="preserve"> Rezolvarea sesizarilor si reclamatiilor se incheie prin arhivarea tuturor documentelor primite, comunicate intern si extern referitoare la cauza, intr-un dosar numerotat identic cu plangerea aferenta inregistrata initial in registrul unic. </w:t>
      </w:r>
    </w:p>
    <w:p w:rsidR="009312A0" w:rsidRPr="00A3735E" w:rsidRDefault="009312A0" w:rsidP="009312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A3735E">
        <w:rPr>
          <w:rFonts w:eastAsia="Times New Roman"/>
          <w:sz w:val="24"/>
          <w:szCs w:val="24"/>
        </w:rPr>
        <w:t xml:space="preserve"> Rezolvarea plângerilor se va face in cel mai scurt timp posibil avand in vedere ca termenul</w:t>
      </w:r>
      <w:r>
        <w:rPr>
          <w:rFonts w:eastAsia="Times New Roman"/>
          <w:sz w:val="24"/>
          <w:szCs w:val="24"/>
        </w:rPr>
        <w:t xml:space="preserve"> </w:t>
      </w:r>
      <w:r w:rsidRPr="00A3735E">
        <w:rPr>
          <w:rFonts w:eastAsia="Times New Roman"/>
          <w:sz w:val="24"/>
          <w:szCs w:val="24"/>
        </w:rPr>
        <w:t>legal de 30 zile de la data inregistrarii la secretariatul instituției, sa fie respectat. În functie de</w:t>
      </w:r>
      <w:r>
        <w:rPr>
          <w:rFonts w:eastAsia="Times New Roman"/>
          <w:sz w:val="24"/>
          <w:szCs w:val="24"/>
        </w:rPr>
        <w:t xml:space="preserve"> </w:t>
      </w:r>
      <w:r w:rsidRPr="00A3735E">
        <w:rPr>
          <w:rFonts w:eastAsia="Times New Roman"/>
          <w:sz w:val="24"/>
          <w:szCs w:val="24"/>
        </w:rPr>
        <w:t>complexitatea plângerii, cand se considera necesar o cercetare mai amanuntita, directorul poate</w:t>
      </w:r>
      <w:r>
        <w:rPr>
          <w:rFonts w:eastAsia="Times New Roman"/>
          <w:sz w:val="24"/>
          <w:szCs w:val="24"/>
        </w:rPr>
        <w:t xml:space="preserve"> </w:t>
      </w:r>
      <w:r w:rsidRPr="00A3735E">
        <w:rPr>
          <w:rFonts w:eastAsia="Times New Roman"/>
          <w:sz w:val="24"/>
          <w:szCs w:val="24"/>
        </w:rPr>
        <w:t>prelungi termenul legal de 30 zile, cu cel mult 15 zile- in cazul plângerilor care nu fac obiectul</w:t>
      </w:r>
      <w:r>
        <w:rPr>
          <w:rFonts w:eastAsia="Times New Roman"/>
          <w:sz w:val="24"/>
          <w:szCs w:val="24"/>
        </w:rPr>
        <w:t xml:space="preserve"> </w:t>
      </w:r>
      <w:r w:rsidRPr="00A3735E">
        <w:rPr>
          <w:rFonts w:eastAsia="Times New Roman"/>
          <w:sz w:val="24"/>
          <w:szCs w:val="24"/>
        </w:rPr>
        <w:t>activitatii institutiei sau in termen de maxim 5 zile- când acestea vor fi redistribuite catre autoritatile competente</w:t>
      </w:r>
      <w:r>
        <w:rPr>
          <w:rFonts w:eastAsia="Times New Roman"/>
          <w:sz w:val="24"/>
          <w:szCs w:val="24"/>
        </w:rPr>
        <w:t xml:space="preserve"> ( Inspectoratul Scolar Judetean Prahova, Inspectoratul Judetean de Politie Prahova)</w:t>
      </w:r>
      <w:r w:rsidRPr="00A3735E">
        <w:rPr>
          <w:rFonts w:eastAsia="Times New Roman"/>
          <w:sz w:val="24"/>
          <w:szCs w:val="24"/>
        </w:rPr>
        <w:t>, cu anuntarea petentului.</w:t>
      </w:r>
    </w:p>
    <w:p w:rsidR="009312A0" w:rsidRDefault="009312A0" w:rsidP="009312A0">
      <w:pPr>
        <w:spacing w:before="100" w:beforeAutospacing="1" w:after="0" w:line="360" w:lineRule="auto"/>
        <w:jc w:val="both"/>
        <w:rPr>
          <w:rFonts w:eastAsia="Times New Roman" w:cs="Arial"/>
          <w:b/>
          <w:bCs/>
          <w:sz w:val="24"/>
          <w:szCs w:val="24"/>
        </w:rPr>
      </w:pPr>
      <w:r w:rsidRPr="00F61A86">
        <w:rPr>
          <w:rFonts w:eastAsia="Times New Roman" w:cs="Arial"/>
          <w:b/>
          <w:bCs/>
          <w:sz w:val="24"/>
          <w:szCs w:val="24"/>
        </w:rPr>
        <w:t>5.</w:t>
      </w:r>
      <w:r>
        <w:rPr>
          <w:rFonts w:eastAsia="Times New Roman" w:cs="Arial"/>
          <w:b/>
          <w:bCs/>
          <w:sz w:val="24"/>
          <w:szCs w:val="24"/>
        </w:rPr>
        <w:t>ÎNREGISTRĂ</w:t>
      </w:r>
      <w:r w:rsidRPr="00F61A86">
        <w:rPr>
          <w:rFonts w:eastAsia="Times New Roman" w:cs="Arial"/>
          <w:b/>
          <w:bCs/>
          <w:sz w:val="24"/>
          <w:szCs w:val="24"/>
        </w:rPr>
        <w:t>RI</w:t>
      </w:r>
    </w:p>
    <w:p w:rsidR="009312A0" w:rsidRPr="00E0129A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E0129A">
        <w:rPr>
          <w:rFonts w:eastAsia="Times New Roman"/>
          <w:sz w:val="24"/>
          <w:szCs w:val="24"/>
        </w:rPr>
        <w:t>- Procesele verbale ale Comisiei de soluționare a sesizărilor și reclamațiilor;</w:t>
      </w:r>
    </w:p>
    <w:p w:rsidR="009312A0" w:rsidRPr="00E0129A" w:rsidRDefault="009312A0" w:rsidP="009312A0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0129A">
        <w:rPr>
          <w:rFonts w:eastAsia="Times New Roman"/>
          <w:sz w:val="24"/>
          <w:szCs w:val="24"/>
        </w:rPr>
        <w:t>- Registrul de procese verbale CP si CA</w:t>
      </w:r>
    </w:p>
    <w:p w:rsidR="009312A0" w:rsidRPr="00E0129A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E0129A">
        <w:rPr>
          <w:rFonts w:eastAsia="Times New Roman"/>
          <w:sz w:val="24"/>
          <w:szCs w:val="24"/>
        </w:rPr>
        <w:t>- Toate documentele primite, comunicate intern si extern referitoare la cauză.</w:t>
      </w:r>
    </w:p>
    <w:p w:rsidR="009312A0" w:rsidRPr="00E0129A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4"/>
          <w:szCs w:val="24"/>
        </w:rPr>
      </w:pPr>
      <w:r w:rsidRPr="00E0129A">
        <w:rPr>
          <w:rFonts w:eastAsia="Times New Roman"/>
          <w:sz w:val="24"/>
          <w:szCs w:val="24"/>
        </w:rPr>
        <w:t>- Durata de păstrare a înregistrărilor este de 5 ani.</w:t>
      </w:r>
    </w:p>
    <w:p w:rsidR="009312A0" w:rsidRPr="00E0129A" w:rsidRDefault="009312A0" w:rsidP="009312A0">
      <w:pPr>
        <w:tabs>
          <w:tab w:val="center" w:pos="463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E0129A">
        <w:rPr>
          <w:rFonts w:eastAsia="Times New Roman"/>
          <w:b/>
          <w:bCs/>
          <w:sz w:val="24"/>
          <w:szCs w:val="24"/>
        </w:rPr>
        <w:tab/>
      </w:r>
    </w:p>
    <w:p w:rsidR="009312A0" w:rsidRPr="00E0129A" w:rsidRDefault="009312A0" w:rsidP="009312A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</w:rPr>
      </w:pPr>
      <w:bookmarkStart w:id="1" w:name="_Toc531663998"/>
    </w:p>
    <w:bookmarkEnd w:id="1"/>
    <w:p w:rsidR="009312A0" w:rsidRDefault="009312A0" w:rsidP="009312A0">
      <w:pPr>
        <w:spacing w:before="100" w:beforeAutospacing="1" w:after="0" w:line="360" w:lineRule="auto"/>
        <w:jc w:val="both"/>
        <w:rPr>
          <w:rFonts w:eastAsia="Times New Roman" w:cs="Arial"/>
          <w:b/>
          <w:bCs/>
          <w:sz w:val="24"/>
          <w:szCs w:val="24"/>
        </w:rPr>
      </w:pPr>
    </w:p>
    <w:p w:rsidR="000D5F2B" w:rsidRDefault="000D5F2B" w:rsidP="009B1CE2">
      <w:pPr>
        <w:rPr>
          <w:u w:val="single"/>
        </w:rPr>
      </w:pPr>
    </w:p>
    <w:sectPr w:rsidR="000D5F2B" w:rsidSect="007007B1"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2E" w:rsidRDefault="00166F2E" w:rsidP="00102D17">
      <w:pPr>
        <w:spacing w:after="0" w:line="240" w:lineRule="auto"/>
      </w:pPr>
      <w:r>
        <w:separator/>
      </w:r>
    </w:p>
  </w:endnote>
  <w:endnote w:type="continuationSeparator" w:id="0">
    <w:p w:rsidR="00166F2E" w:rsidRDefault="00166F2E" w:rsidP="0010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059"/>
      <w:docPartObj>
        <w:docPartGallery w:val="Page Numbers (Bottom of Page)"/>
        <w:docPartUnique/>
      </w:docPartObj>
    </w:sdtPr>
    <w:sdtEndPr/>
    <w:sdtContent>
      <w:p w:rsidR="00AA4532" w:rsidRDefault="00FE1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7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532" w:rsidRDefault="00AA4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2E" w:rsidRDefault="00166F2E" w:rsidP="00102D17">
      <w:pPr>
        <w:spacing w:after="0" w:line="240" w:lineRule="auto"/>
      </w:pPr>
      <w:r>
        <w:separator/>
      </w:r>
    </w:p>
  </w:footnote>
  <w:footnote w:type="continuationSeparator" w:id="0">
    <w:p w:rsidR="00166F2E" w:rsidRDefault="00166F2E" w:rsidP="0010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alias w:val="Titlu"/>
      <w:id w:val="77547040"/>
      <w:placeholder>
        <w:docPart w:val="D363F58B3C114FF99F8F7D075A8888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072F" w:rsidRDefault="00B4072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B4072F">
          <w:rPr>
            <w:i/>
          </w:rPr>
          <w:t>Școala Gimnazială George Coșbuc – Ploiești</w:t>
        </w:r>
      </w:p>
    </w:sdtContent>
  </w:sdt>
  <w:sdt>
    <w:sdtPr>
      <w:alias w:val="Dată"/>
      <w:id w:val="77547044"/>
      <w:placeholder>
        <w:docPart w:val="4ED57248FA4F45EE93B194E7BFCC38E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o-RO"/>
        <w:storeMappedDataAs w:val="dateTime"/>
        <w:calendar w:val="gregorian"/>
      </w:date>
    </w:sdtPr>
    <w:sdtEndPr/>
    <w:sdtContent>
      <w:p w:rsidR="00B4072F" w:rsidRDefault="005B2AD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CEAC    P</w:t>
        </w:r>
        <w:r w:rsidR="002862FD">
          <w:t>.</w:t>
        </w:r>
        <w:r w:rsidR="000D5F2B">
          <w:t>O</w:t>
        </w:r>
        <w:r w:rsidR="002862FD">
          <w:t>.</w:t>
        </w:r>
        <w:r w:rsidR="007007B1">
          <w:t xml:space="preserve"> </w:t>
        </w:r>
        <w:r w:rsidR="009312A0">
          <w:t>32</w:t>
        </w:r>
      </w:p>
    </w:sdtContent>
  </w:sdt>
  <w:p w:rsidR="00102D17" w:rsidRDefault="00102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17" w:rsidRDefault="00102D17">
    <w:pPr>
      <w:pStyle w:val="Header"/>
    </w:pPr>
    <w:r>
      <w:rPr>
        <w:noProof/>
      </w:rPr>
      <w:drawing>
        <wp:inline distT="0" distB="0" distL="0" distR="0" wp14:anchorId="0289D122" wp14:editId="7C28C736">
          <wp:extent cx="6120765" cy="744924"/>
          <wp:effectExtent l="19050" t="0" r="0" b="0"/>
          <wp:docPr id="2" name="Imagine 1" descr="D:\CEAC 2014-2015\MACULATOR\ANTET CEL MAI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AC 2014-2015\MACULATOR\ANTET CEL MAI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44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2F7"/>
    <w:multiLevelType w:val="hybridMultilevel"/>
    <w:tmpl w:val="208850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CD7"/>
    <w:multiLevelType w:val="hybridMultilevel"/>
    <w:tmpl w:val="C32C0B82"/>
    <w:lvl w:ilvl="0" w:tplc="BD8ADC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2384"/>
    <w:multiLevelType w:val="hybridMultilevel"/>
    <w:tmpl w:val="2A16F190"/>
    <w:lvl w:ilvl="0" w:tplc="041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06790411"/>
    <w:multiLevelType w:val="hybridMultilevel"/>
    <w:tmpl w:val="7BD4D3B6"/>
    <w:lvl w:ilvl="0" w:tplc="BD8ADC1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7787CE5"/>
    <w:multiLevelType w:val="hybridMultilevel"/>
    <w:tmpl w:val="0A7EF428"/>
    <w:lvl w:ilvl="0" w:tplc="EE5A9EB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F61A5"/>
    <w:multiLevelType w:val="hybridMultilevel"/>
    <w:tmpl w:val="01BA7AB0"/>
    <w:lvl w:ilvl="0" w:tplc="16FC2C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323FB"/>
    <w:multiLevelType w:val="hybridMultilevel"/>
    <w:tmpl w:val="3EE8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96744"/>
    <w:multiLevelType w:val="hybridMultilevel"/>
    <w:tmpl w:val="151409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0A13"/>
    <w:multiLevelType w:val="hybridMultilevel"/>
    <w:tmpl w:val="49B4E9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FB80903"/>
    <w:multiLevelType w:val="hybridMultilevel"/>
    <w:tmpl w:val="E3E44F3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2AB349A"/>
    <w:multiLevelType w:val="hybridMultilevel"/>
    <w:tmpl w:val="33C0D2AA"/>
    <w:lvl w:ilvl="0" w:tplc="EE5A9EB4">
      <w:start w:val="16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A194AD4"/>
    <w:multiLevelType w:val="hybridMultilevel"/>
    <w:tmpl w:val="EEB8B20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5BC97888"/>
    <w:multiLevelType w:val="hybridMultilevel"/>
    <w:tmpl w:val="BF4E9596"/>
    <w:lvl w:ilvl="0" w:tplc="49A6B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C0285"/>
    <w:multiLevelType w:val="hybridMultilevel"/>
    <w:tmpl w:val="9B465BC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7E717BBB"/>
    <w:multiLevelType w:val="hybridMultilevel"/>
    <w:tmpl w:val="22D0F060"/>
    <w:lvl w:ilvl="0" w:tplc="618A73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E2"/>
    <w:rsid w:val="000420F7"/>
    <w:rsid w:val="000D5F2B"/>
    <w:rsid w:val="00102D17"/>
    <w:rsid w:val="001324FB"/>
    <w:rsid w:val="001350B9"/>
    <w:rsid w:val="00166F2E"/>
    <w:rsid w:val="001842C6"/>
    <w:rsid w:val="001A4F93"/>
    <w:rsid w:val="00246467"/>
    <w:rsid w:val="002862FD"/>
    <w:rsid w:val="00375151"/>
    <w:rsid w:val="003E1FBA"/>
    <w:rsid w:val="00421BE6"/>
    <w:rsid w:val="00443EE0"/>
    <w:rsid w:val="00502F2D"/>
    <w:rsid w:val="0055427E"/>
    <w:rsid w:val="005A1553"/>
    <w:rsid w:val="005B2ADE"/>
    <w:rsid w:val="00601515"/>
    <w:rsid w:val="006E213D"/>
    <w:rsid w:val="007007B1"/>
    <w:rsid w:val="00703CF4"/>
    <w:rsid w:val="007A5836"/>
    <w:rsid w:val="008168F4"/>
    <w:rsid w:val="0082674F"/>
    <w:rsid w:val="00845230"/>
    <w:rsid w:val="009312A0"/>
    <w:rsid w:val="00973B30"/>
    <w:rsid w:val="009B1CE2"/>
    <w:rsid w:val="00A52A64"/>
    <w:rsid w:val="00AA4532"/>
    <w:rsid w:val="00B243C8"/>
    <w:rsid w:val="00B4072F"/>
    <w:rsid w:val="00B75ECF"/>
    <w:rsid w:val="00CA2D66"/>
    <w:rsid w:val="00D055CE"/>
    <w:rsid w:val="00D14733"/>
    <w:rsid w:val="00D95A35"/>
    <w:rsid w:val="00DA1D6D"/>
    <w:rsid w:val="00EF7FAD"/>
    <w:rsid w:val="00F47D39"/>
    <w:rsid w:val="00FB5B17"/>
    <w:rsid w:val="00FD2D7B"/>
    <w:rsid w:val="00FE195D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C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427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10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17"/>
  </w:style>
  <w:style w:type="paragraph" w:styleId="Footer">
    <w:name w:val="footer"/>
    <w:basedOn w:val="Normal"/>
    <w:link w:val="FooterChar"/>
    <w:uiPriority w:val="99"/>
    <w:unhideWhenUsed/>
    <w:rsid w:val="0010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17"/>
  </w:style>
  <w:style w:type="paragraph" w:styleId="BalloonText">
    <w:name w:val="Balloon Text"/>
    <w:basedOn w:val="Normal"/>
    <w:link w:val="BalloonTextChar"/>
    <w:uiPriority w:val="99"/>
    <w:semiHidden/>
    <w:unhideWhenUsed/>
    <w:rsid w:val="0010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C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427E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10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17"/>
  </w:style>
  <w:style w:type="paragraph" w:styleId="Footer">
    <w:name w:val="footer"/>
    <w:basedOn w:val="Normal"/>
    <w:link w:val="FooterChar"/>
    <w:uiPriority w:val="99"/>
    <w:unhideWhenUsed/>
    <w:rsid w:val="0010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17"/>
  </w:style>
  <w:style w:type="paragraph" w:styleId="BalloonText">
    <w:name w:val="Balloon Text"/>
    <w:basedOn w:val="Normal"/>
    <w:link w:val="BalloonTextChar"/>
    <w:uiPriority w:val="99"/>
    <w:semiHidden/>
    <w:unhideWhenUsed/>
    <w:rsid w:val="0010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63F58B3C114FF99F8F7D075A88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A2B1-4720-4430-BFE4-004BA7C6627E}"/>
      </w:docPartPr>
      <w:docPartBody>
        <w:p w:rsidR="00C55D40" w:rsidRDefault="00EA1D22" w:rsidP="00EA1D22">
          <w:pPr>
            <w:pStyle w:val="D363F58B3C114FF99F8F7D075A88888E"/>
          </w:pPr>
          <w:r>
            <w:t>[Tastaţi titlul documentului]</w:t>
          </w:r>
        </w:p>
      </w:docPartBody>
    </w:docPart>
    <w:docPart>
      <w:docPartPr>
        <w:name w:val="4ED57248FA4F45EE93B194E7BFCC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81F4-6376-470F-A98F-1A182829FC40}"/>
      </w:docPartPr>
      <w:docPartBody>
        <w:p w:rsidR="00C55D40" w:rsidRDefault="00EA1D22" w:rsidP="00EA1D22">
          <w:pPr>
            <w:pStyle w:val="4ED57248FA4F45EE93B194E7BFCC38ED"/>
          </w:pPr>
          <w:r>
            <w:t>[Alegeţi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D22"/>
    <w:rsid w:val="002048A7"/>
    <w:rsid w:val="0028381C"/>
    <w:rsid w:val="00422800"/>
    <w:rsid w:val="00426F41"/>
    <w:rsid w:val="008E75B7"/>
    <w:rsid w:val="00903F22"/>
    <w:rsid w:val="00C55D40"/>
    <w:rsid w:val="00CB69C8"/>
    <w:rsid w:val="00DA7F66"/>
    <w:rsid w:val="00E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63F58B3C114FF99F8F7D075A88888E">
    <w:name w:val="D363F58B3C114FF99F8F7D075A88888E"/>
    <w:rsid w:val="00EA1D22"/>
  </w:style>
  <w:style w:type="paragraph" w:customStyle="1" w:styleId="4ED57248FA4F45EE93B194E7BFCC38ED">
    <w:name w:val="4ED57248FA4F45EE93B194E7BFCC38ED"/>
    <w:rsid w:val="00EA1D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CEAC    P.O. 32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Școala Gimnazială George Coșbuc – Ploiești</vt:lpstr>
      <vt:lpstr>Școala Gimnazială George Coșbuc – Ploiești</vt:lpstr>
    </vt:vector>
  </TitlesOfParts>
  <Company>Unitate Scolara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Gimnazială George Coșbuc – Ploiești</dc:title>
  <dc:creator>Irina</dc:creator>
  <cp:lastModifiedBy>user</cp:lastModifiedBy>
  <cp:revision>3</cp:revision>
  <cp:lastPrinted>2015-02-17T11:08:00Z</cp:lastPrinted>
  <dcterms:created xsi:type="dcterms:W3CDTF">2014-11-19T22:34:00Z</dcterms:created>
  <dcterms:modified xsi:type="dcterms:W3CDTF">2015-02-17T11:08:00Z</dcterms:modified>
</cp:coreProperties>
</file>