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52" w:rsidRDefault="00753252" w:rsidP="00753252">
      <w:pPr>
        <w:rPr>
          <w:sz w:val="24"/>
          <w:szCs w:val="24"/>
        </w:rPr>
      </w:pPr>
    </w:p>
    <w:p w:rsidR="00684E48" w:rsidRDefault="00684E48" w:rsidP="00753252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6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030"/>
        <w:gridCol w:w="1980"/>
      </w:tblGrid>
      <w:tr w:rsidR="00684E48" w:rsidRPr="002E6CEF" w:rsidTr="00012DCC">
        <w:trPr>
          <w:trHeight w:val="1233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84E48" w:rsidRPr="002E6CEF" w:rsidRDefault="00684E48" w:rsidP="00012DCC"/>
          <w:p w:rsidR="00684E48" w:rsidRPr="002E6CEF" w:rsidRDefault="00684E48" w:rsidP="00012DCC"/>
          <w:p w:rsidR="00684E48" w:rsidRPr="002E6CEF" w:rsidRDefault="00684E48" w:rsidP="00012DCC">
            <w:pPr>
              <w:spacing w:after="0"/>
              <w:jc w:val="center"/>
              <w:rPr>
                <w:b/>
              </w:rPr>
            </w:pPr>
            <w:r w:rsidRPr="002E6CEF">
              <w:rPr>
                <w:b/>
              </w:rPr>
              <w:t>COMISIA  PENTRU EVALUAREA ŞI</w:t>
            </w:r>
          </w:p>
          <w:p w:rsidR="00684E48" w:rsidRPr="002E6CEF" w:rsidRDefault="00684E48" w:rsidP="00012DCC">
            <w:pPr>
              <w:spacing w:after="0"/>
              <w:jc w:val="center"/>
              <w:rPr>
                <w:b/>
              </w:rPr>
            </w:pPr>
            <w:r w:rsidRPr="002E6CEF">
              <w:rPr>
                <w:b/>
              </w:rPr>
              <w:t>ASIGURAREA CALITĂŢII</w:t>
            </w:r>
          </w:p>
          <w:p w:rsidR="00684E48" w:rsidRPr="002E6CEF" w:rsidRDefault="00684E48" w:rsidP="00012DCC">
            <w:pPr>
              <w:spacing w:after="0"/>
            </w:pPr>
          </w:p>
          <w:p w:rsidR="00684E48" w:rsidRPr="002E6CEF" w:rsidRDefault="00684E48" w:rsidP="00012DCC"/>
          <w:p w:rsidR="00684E48" w:rsidRPr="002E6CEF" w:rsidRDefault="00684E48" w:rsidP="00012DCC"/>
        </w:tc>
        <w:tc>
          <w:tcPr>
            <w:tcW w:w="60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E48" w:rsidRPr="002E6CEF" w:rsidRDefault="00684E48" w:rsidP="00012DCC">
            <w:pPr>
              <w:jc w:val="center"/>
              <w:rPr>
                <w:b/>
                <w:sz w:val="32"/>
                <w:szCs w:val="32"/>
              </w:rPr>
            </w:pPr>
            <w:r w:rsidRPr="002E6CEF">
              <w:rPr>
                <w:b/>
                <w:sz w:val="32"/>
                <w:szCs w:val="32"/>
              </w:rPr>
              <w:t>PROCEDURA OPERATIONALA</w:t>
            </w:r>
          </w:p>
          <w:p w:rsidR="00684E48" w:rsidRPr="002E6CEF" w:rsidRDefault="00684E48" w:rsidP="00012DCC">
            <w:pPr>
              <w:jc w:val="center"/>
              <w:rPr>
                <w:b/>
                <w:sz w:val="32"/>
                <w:szCs w:val="32"/>
              </w:rPr>
            </w:pPr>
            <w:r w:rsidRPr="002E6CEF">
              <w:rPr>
                <w:b/>
                <w:sz w:val="32"/>
                <w:szCs w:val="32"/>
              </w:rPr>
              <w:t>Privind</w:t>
            </w:r>
          </w:p>
          <w:p w:rsidR="00684E48" w:rsidRPr="002E6CEF" w:rsidRDefault="00523F7D" w:rsidP="00C21A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COMBATEREA CORUPŢIEI 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4E48" w:rsidRPr="002E6CEF" w:rsidRDefault="00684E48" w:rsidP="00012DCC">
            <w:r w:rsidRPr="002E6CEF">
              <w:t>Editia : I</w:t>
            </w:r>
          </w:p>
          <w:p w:rsidR="00684E48" w:rsidRPr="002E6CEF" w:rsidRDefault="00684E48" w:rsidP="00012DCC">
            <w:r w:rsidRPr="002E6CEF">
              <w:t>Nr.exemplare</w:t>
            </w:r>
            <w:r w:rsidR="00EF681D">
              <w:t xml:space="preserve"> </w:t>
            </w:r>
            <w:r w:rsidR="00984BEF">
              <w:t xml:space="preserve"> </w:t>
            </w:r>
            <w:r w:rsidR="00EF681D">
              <w:t>4</w:t>
            </w:r>
          </w:p>
          <w:p w:rsidR="00684E48" w:rsidRPr="002E6CEF" w:rsidRDefault="00684E48" w:rsidP="00012DCC">
            <w:r w:rsidRPr="002E6CEF">
              <w:t xml:space="preserve">Nr. pagini: </w:t>
            </w:r>
            <w:r w:rsidR="00A744B5">
              <w:t>4</w:t>
            </w:r>
            <w:bookmarkStart w:id="0" w:name="_GoBack"/>
            <w:bookmarkEnd w:id="0"/>
          </w:p>
          <w:p w:rsidR="00684E48" w:rsidRPr="002E6CEF" w:rsidRDefault="00425ADA" w:rsidP="00012DCC">
            <w:r>
              <w:t>COD: P.O.</w:t>
            </w:r>
            <w:r w:rsidR="00E66A38">
              <w:t>41</w:t>
            </w:r>
            <w:r>
              <w:t xml:space="preserve"> </w:t>
            </w:r>
          </w:p>
        </w:tc>
      </w:tr>
    </w:tbl>
    <w:tbl>
      <w:tblPr>
        <w:tblW w:w="8990" w:type="dxa"/>
        <w:jc w:val="center"/>
        <w:tblInd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3119"/>
        <w:gridCol w:w="3502"/>
      </w:tblGrid>
      <w:tr w:rsidR="007510C2" w:rsidTr="00012DCC">
        <w:trPr>
          <w:trHeight w:val="150"/>
          <w:jc w:val="center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10C2" w:rsidRPr="00E07B07" w:rsidRDefault="007510C2" w:rsidP="00012DCC">
            <w:pPr>
              <w:spacing w:after="0"/>
              <w:rPr>
                <w:b/>
              </w:rPr>
            </w:pPr>
            <w:r>
              <w:rPr>
                <w:b/>
              </w:rPr>
              <w:t>Elaborat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10C2" w:rsidRDefault="007510C2" w:rsidP="006C1381">
            <w:pPr>
              <w:spacing w:after="0"/>
            </w:pPr>
            <w:r>
              <w:t xml:space="preserve">Prof. </w:t>
            </w:r>
            <w:r w:rsidR="006C1381">
              <w:t>Moraru Florina</w:t>
            </w:r>
          </w:p>
        </w:tc>
        <w:tc>
          <w:tcPr>
            <w:tcW w:w="3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10C2" w:rsidRDefault="007510C2" w:rsidP="00012DCC">
            <w:pPr>
              <w:spacing w:after="0"/>
            </w:pPr>
            <w:r>
              <w:t>Semnătura:</w:t>
            </w:r>
          </w:p>
        </w:tc>
      </w:tr>
      <w:tr w:rsidR="007510C2" w:rsidTr="00012DCC">
        <w:trPr>
          <w:trHeight w:val="165"/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0C2" w:rsidRDefault="007510C2" w:rsidP="00012DCC">
            <w:pPr>
              <w:spacing w:after="0"/>
              <w:rPr>
                <w:b/>
              </w:rPr>
            </w:pPr>
            <w:r>
              <w:rPr>
                <w:b/>
              </w:rPr>
              <w:t>Data:</w:t>
            </w:r>
            <w:r w:rsidR="008E15C8">
              <w:rPr>
                <w:b/>
              </w:rPr>
              <w:t xml:space="preserve"> 19</w:t>
            </w:r>
            <w:r w:rsidR="006C1381">
              <w:rPr>
                <w:b/>
              </w:rPr>
              <w:t>.11</w:t>
            </w:r>
            <w:r w:rsidR="0040262D">
              <w:rPr>
                <w:b/>
              </w:rPr>
              <w:t>.201</w:t>
            </w:r>
            <w:r w:rsidR="006C1381">
              <w:rPr>
                <w:b/>
              </w:rPr>
              <w:t>5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0C2" w:rsidRDefault="007510C2" w:rsidP="00012DCC">
            <w:pPr>
              <w:spacing w:after="0"/>
            </w:pPr>
          </w:p>
        </w:tc>
        <w:tc>
          <w:tcPr>
            <w:tcW w:w="35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0C2" w:rsidRDefault="007510C2" w:rsidP="00012DCC">
            <w:pPr>
              <w:spacing w:after="0"/>
            </w:pPr>
          </w:p>
        </w:tc>
      </w:tr>
      <w:tr w:rsidR="007510C2" w:rsidTr="00012DCC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10C2" w:rsidRPr="00E07B07" w:rsidRDefault="007510C2" w:rsidP="00012DCC">
            <w:pPr>
              <w:spacing w:after="0"/>
              <w:rPr>
                <w:b/>
              </w:rPr>
            </w:pPr>
            <w:r w:rsidRPr="00E07B07">
              <w:rPr>
                <w:b/>
              </w:rPr>
              <w:t>Verificat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10C2" w:rsidRDefault="007510C2" w:rsidP="00012DCC">
            <w:pPr>
              <w:spacing w:after="0"/>
            </w:pPr>
            <w:r>
              <w:t>Director prof.  Avadanei Daniela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10C2" w:rsidRDefault="007510C2" w:rsidP="00012DCC">
            <w:pPr>
              <w:spacing w:after="0"/>
            </w:pPr>
            <w:r>
              <w:t>Semnătura:</w:t>
            </w:r>
          </w:p>
        </w:tc>
      </w:tr>
      <w:tr w:rsidR="007510C2" w:rsidTr="00012DCC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10C2" w:rsidRPr="00E07B07" w:rsidRDefault="007510C2" w:rsidP="00012DCC">
            <w:pPr>
              <w:spacing w:after="0"/>
              <w:rPr>
                <w:b/>
              </w:rPr>
            </w:pPr>
            <w:r w:rsidRPr="00E07B07">
              <w:rPr>
                <w:b/>
              </w:rPr>
              <w:t>Aprobat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10C2" w:rsidRDefault="007510C2" w:rsidP="00012DCC">
            <w:pPr>
              <w:spacing w:after="0"/>
            </w:pPr>
            <w:r>
              <w:t>Director prof. Avadanei Daniela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10C2" w:rsidRDefault="007510C2" w:rsidP="00012DCC">
            <w:pPr>
              <w:spacing w:after="0"/>
            </w:pPr>
            <w:r>
              <w:t>Semnătura:</w:t>
            </w:r>
          </w:p>
        </w:tc>
      </w:tr>
    </w:tbl>
    <w:p w:rsidR="007510C2" w:rsidRDefault="007510C2" w:rsidP="007510C2"/>
    <w:p w:rsidR="007510C2" w:rsidRPr="001324FB" w:rsidRDefault="007510C2" w:rsidP="007510C2">
      <w:pPr>
        <w:rPr>
          <w:b/>
          <w:sz w:val="24"/>
          <w:szCs w:val="24"/>
        </w:rPr>
      </w:pPr>
      <w:r w:rsidRPr="001324FB">
        <w:rPr>
          <w:b/>
          <w:sz w:val="24"/>
          <w:szCs w:val="24"/>
        </w:rPr>
        <w:t>Lista de difuzare:</w:t>
      </w:r>
    </w:p>
    <w:tbl>
      <w:tblPr>
        <w:tblStyle w:val="GrilTabel"/>
        <w:tblW w:w="0" w:type="auto"/>
        <w:jc w:val="center"/>
        <w:tblLook w:val="04A0"/>
      </w:tblPr>
      <w:tblGrid>
        <w:gridCol w:w="1101"/>
        <w:gridCol w:w="3519"/>
        <w:gridCol w:w="2311"/>
        <w:gridCol w:w="2312"/>
      </w:tblGrid>
      <w:tr w:rsidR="007510C2" w:rsidRPr="001324FB" w:rsidTr="006C1381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0C2" w:rsidRPr="001324FB" w:rsidRDefault="007510C2" w:rsidP="00012DCC">
            <w:pPr>
              <w:jc w:val="center"/>
              <w:rPr>
                <w:b/>
              </w:rPr>
            </w:pPr>
            <w:r w:rsidRPr="001324FB">
              <w:rPr>
                <w:b/>
              </w:rPr>
              <w:t>Exemplar nr.</w:t>
            </w:r>
          </w:p>
        </w:tc>
        <w:tc>
          <w:tcPr>
            <w:tcW w:w="3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10C2" w:rsidRPr="001324FB" w:rsidRDefault="007510C2" w:rsidP="00012DCC">
            <w:pPr>
              <w:jc w:val="center"/>
              <w:rPr>
                <w:b/>
              </w:rPr>
            </w:pPr>
            <w:r w:rsidRPr="001324FB">
              <w:rPr>
                <w:b/>
              </w:rPr>
              <w:t>Destinatar document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10C2" w:rsidRPr="001324FB" w:rsidRDefault="007510C2" w:rsidP="00012DCC">
            <w:pPr>
              <w:jc w:val="center"/>
              <w:rPr>
                <w:b/>
              </w:rPr>
            </w:pPr>
            <w:r w:rsidRPr="001324FB">
              <w:rPr>
                <w:b/>
              </w:rPr>
              <w:t>Data difuzării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0C2" w:rsidRPr="001324FB" w:rsidRDefault="007510C2" w:rsidP="00012DCC">
            <w:pPr>
              <w:jc w:val="center"/>
              <w:rPr>
                <w:b/>
              </w:rPr>
            </w:pPr>
            <w:r w:rsidRPr="001324FB">
              <w:rPr>
                <w:b/>
              </w:rPr>
              <w:t>Semnătura de primire</w:t>
            </w:r>
          </w:p>
        </w:tc>
      </w:tr>
      <w:tr w:rsidR="006C1381" w:rsidTr="006C1381">
        <w:trPr>
          <w:trHeight w:hRule="exact" w:val="340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1381" w:rsidRDefault="006C1381" w:rsidP="00012DC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:rsidR="006C1381" w:rsidRDefault="006C1381" w:rsidP="00EC5586">
            <w:r>
              <w:t>Director prof.  Avadanei Daniela</w:t>
            </w:r>
          </w:p>
        </w:tc>
        <w:tc>
          <w:tcPr>
            <w:tcW w:w="2311" w:type="dxa"/>
            <w:tcBorders>
              <w:top w:val="single" w:sz="12" w:space="0" w:color="auto"/>
            </w:tcBorders>
          </w:tcPr>
          <w:p w:rsidR="006C1381" w:rsidRPr="006C1381" w:rsidRDefault="009E2216" w:rsidP="00012DCC">
            <w:r>
              <w:t>20</w:t>
            </w:r>
            <w:r w:rsidR="006C1381" w:rsidRPr="006C1381">
              <w:t>.11.2015</w:t>
            </w:r>
          </w:p>
        </w:tc>
        <w:tc>
          <w:tcPr>
            <w:tcW w:w="2312" w:type="dxa"/>
            <w:tcBorders>
              <w:top w:val="single" w:sz="12" w:space="0" w:color="auto"/>
              <w:right w:val="single" w:sz="12" w:space="0" w:color="auto"/>
            </w:tcBorders>
          </w:tcPr>
          <w:p w:rsidR="006C1381" w:rsidRDefault="006C1381" w:rsidP="00012DCC">
            <w:pPr>
              <w:rPr>
                <w:b/>
              </w:rPr>
            </w:pPr>
          </w:p>
        </w:tc>
      </w:tr>
      <w:tr w:rsidR="008E15C8" w:rsidTr="006C1381">
        <w:trPr>
          <w:trHeight w:hRule="exact" w:val="340"/>
          <w:jc w:val="center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E15C8" w:rsidRDefault="008E15C8" w:rsidP="00012D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19" w:type="dxa"/>
          </w:tcPr>
          <w:p w:rsidR="008E15C8" w:rsidRPr="0040262D" w:rsidRDefault="008E15C8" w:rsidP="00012DCC">
            <w:r>
              <w:t>Ioniță Ana-Maria</w:t>
            </w:r>
            <w:r w:rsidRPr="0040262D">
              <w:t xml:space="preserve"> -CEAC</w:t>
            </w:r>
          </w:p>
        </w:tc>
        <w:tc>
          <w:tcPr>
            <w:tcW w:w="2311" w:type="dxa"/>
          </w:tcPr>
          <w:p w:rsidR="008E15C8" w:rsidRPr="006C1381" w:rsidRDefault="009E2216" w:rsidP="008E1CBD">
            <w:r>
              <w:t>20</w:t>
            </w:r>
            <w:r w:rsidR="008E15C8" w:rsidRPr="006C1381">
              <w:t>.11.2015</w:t>
            </w:r>
          </w:p>
        </w:tc>
        <w:tc>
          <w:tcPr>
            <w:tcW w:w="2312" w:type="dxa"/>
            <w:tcBorders>
              <w:right w:val="single" w:sz="12" w:space="0" w:color="auto"/>
            </w:tcBorders>
          </w:tcPr>
          <w:p w:rsidR="008E15C8" w:rsidRDefault="008E15C8" w:rsidP="00012DCC">
            <w:pPr>
              <w:rPr>
                <w:b/>
              </w:rPr>
            </w:pPr>
          </w:p>
        </w:tc>
      </w:tr>
      <w:tr w:rsidR="008E15C8" w:rsidTr="006C1381">
        <w:trPr>
          <w:trHeight w:hRule="exact" w:val="340"/>
          <w:jc w:val="center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E15C8" w:rsidRDefault="008E15C8" w:rsidP="00012D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19" w:type="dxa"/>
          </w:tcPr>
          <w:p w:rsidR="008E15C8" w:rsidRPr="0040262D" w:rsidRDefault="008E15C8" w:rsidP="00012DCC">
            <w:r>
              <w:t>Comisia PACE</w:t>
            </w:r>
          </w:p>
        </w:tc>
        <w:tc>
          <w:tcPr>
            <w:tcW w:w="2311" w:type="dxa"/>
          </w:tcPr>
          <w:p w:rsidR="008E15C8" w:rsidRPr="006C1381" w:rsidRDefault="009E2216" w:rsidP="008E1CBD">
            <w:r>
              <w:t>20</w:t>
            </w:r>
            <w:r w:rsidR="008E15C8" w:rsidRPr="006C1381">
              <w:t>.11.2015</w:t>
            </w:r>
          </w:p>
        </w:tc>
        <w:tc>
          <w:tcPr>
            <w:tcW w:w="2312" w:type="dxa"/>
            <w:tcBorders>
              <w:right w:val="single" w:sz="12" w:space="0" w:color="auto"/>
            </w:tcBorders>
          </w:tcPr>
          <w:p w:rsidR="008E15C8" w:rsidRDefault="008E15C8" w:rsidP="00012DCC">
            <w:pPr>
              <w:rPr>
                <w:b/>
              </w:rPr>
            </w:pPr>
          </w:p>
        </w:tc>
      </w:tr>
      <w:tr w:rsidR="008E15C8" w:rsidTr="006C1381">
        <w:trPr>
          <w:trHeight w:hRule="exact" w:val="340"/>
          <w:jc w:val="center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8E15C8" w:rsidRDefault="008E15C8" w:rsidP="00012DC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19" w:type="dxa"/>
          </w:tcPr>
          <w:p w:rsidR="008E15C8" w:rsidRPr="006C1381" w:rsidRDefault="008E15C8" w:rsidP="00012DCC">
            <w:r>
              <w:t>C.A.</w:t>
            </w:r>
          </w:p>
        </w:tc>
        <w:tc>
          <w:tcPr>
            <w:tcW w:w="2311" w:type="dxa"/>
          </w:tcPr>
          <w:p w:rsidR="008E15C8" w:rsidRPr="006C1381" w:rsidRDefault="009E2216" w:rsidP="008E1CBD">
            <w:r>
              <w:t>20</w:t>
            </w:r>
            <w:r w:rsidR="008E15C8" w:rsidRPr="006C1381">
              <w:t>.11.2015</w:t>
            </w:r>
          </w:p>
        </w:tc>
        <w:tc>
          <w:tcPr>
            <w:tcW w:w="2312" w:type="dxa"/>
            <w:tcBorders>
              <w:right w:val="single" w:sz="12" w:space="0" w:color="auto"/>
            </w:tcBorders>
          </w:tcPr>
          <w:p w:rsidR="008E15C8" w:rsidRDefault="008E15C8" w:rsidP="00012DCC">
            <w:pPr>
              <w:rPr>
                <w:b/>
              </w:rPr>
            </w:pPr>
          </w:p>
        </w:tc>
      </w:tr>
      <w:tr w:rsidR="006C1381" w:rsidTr="006C1381">
        <w:trPr>
          <w:trHeight w:hRule="exact" w:val="340"/>
          <w:jc w:val="center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381" w:rsidRDefault="006C1381" w:rsidP="00012DC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19" w:type="dxa"/>
            <w:tcBorders>
              <w:bottom w:val="single" w:sz="12" w:space="0" w:color="auto"/>
            </w:tcBorders>
          </w:tcPr>
          <w:p w:rsidR="006C1381" w:rsidRPr="006C1381" w:rsidRDefault="006C1381" w:rsidP="00012DCC"/>
        </w:tc>
        <w:tc>
          <w:tcPr>
            <w:tcW w:w="2311" w:type="dxa"/>
            <w:tcBorders>
              <w:bottom w:val="single" w:sz="12" w:space="0" w:color="auto"/>
            </w:tcBorders>
          </w:tcPr>
          <w:p w:rsidR="006C1381" w:rsidRPr="006C1381" w:rsidRDefault="006C1381" w:rsidP="00EC5586"/>
        </w:tc>
        <w:tc>
          <w:tcPr>
            <w:tcW w:w="2312" w:type="dxa"/>
            <w:tcBorders>
              <w:bottom w:val="single" w:sz="12" w:space="0" w:color="auto"/>
              <w:right w:val="single" w:sz="12" w:space="0" w:color="auto"/>
            </w:tcBorders>
          </w:tcPr>
          <w:p w:rsidR="006C1381" w:rsidRDefault="006C1381" w:rsidP="00012DCC">
            <w:pPr>
              <w:rPr>
                <w:b/>
              </w:rPr>
            </w:pPr>
          </w:p>
        </w:tc>
      </w:tr>
    </w:tbl>
    <w:p w:rsidR="007510C2" w:rsidRPr="00421BE6" w:rsidRDefault="007510C2" w:rsidP="007510C2">
      <w:pPr>
        <w:rPr>
          <w:b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2" w:type="dxa"/>
          <w:right w:w="112" w:type="dxa"/>
        </w:tblCellMar>
        <w:tblLook w:val="04A0"/>
      </w:tblPr>
      <w:tblGrid>
        <w:gridCol w:w="1260"/>
        <w:gridCol w:w="1980"/>
        <w:gridCol w:w="4320"/>
        <w:gridCol w:w="1980"/>
      </w:tblGrid>
      <w:tr w:rsidR="007510C2" w:rsidRPr="00D05842" w:rsidTr="00012DCC">
        <w:trPr>
          <w:cantSplit/>
          <w:trHeight w:val="674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Revizuire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Data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Persoana responsabilă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Semnătura</w:t>
            </w:r>
          </w:p>
        </w:tc>
      </w:tr>
      <w:tr w:rsidR="007510C2" w:rsidRPr="00D05842" w:rsidTr="00012DCC">
        <w:trPr>
          <w:cantSplit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</w:tr>
      <w:tr w:rsidR="007510C2" w:rsidRPr="00D05842" w:rsidTr="00012DCC">
        <w:trPr>
          <w:cantSplit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  <w:hideMark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2</w:t>
            </w:r>
          </w:p>
        </w:tc>
        <w:tc>
          <w:tcPr>
            <w:tcW w:w="1980" w:type="dxa"/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4320" w:type="dxa"/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</w:tr>
      <w:tr w:rsidR="007510C2" w:rsidRPr="00D05842" w:rsidTr="00012DCC">
        <w:trPr>
          <w:cantSplit/>
          <w:trHeight w:val="225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  <w:hideMark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3</w:t>
            </w:r>
          </w:p>
        </w:tc>
        <w:tc>
          <w:tcPr>
            <w:tcW w:w="1980" w:type="dxa"/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4320" w:type="dxa"/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</w:tr>
      <w:tr w:rsidR="007510C2" w:rsidRPr="00D05842" w:rsidTr="00012DCC">
        <w:trPr>
          <w:cantSplit/>
          <w:trHeight w:val="315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510C2" w:rsidRPr="00D05842" w:rsidRDefault="007510C2" w:rsidP="00012DCC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7510C2" w:rsidRPr="00D05842" w:rsidRDefault="007510C2" w:rsidP="00012DCC">
            <w:pPr>
              <w:rPr>
                <w:bCs/>
              </w:rPr>
            </w:pPr>
          </w:p>
        </w:tc>
      </w:tr>
    </w:tbl>
    <w:p w:rsidR="00684E48" w:rsidRDefault="00684E48" w:rsidP="00753252">
      <w:pPr>
        <w:pStyle w:val="Default"/>
        <w:rPr>
          <w:rFonts w:asciiTheme="minorHAnsi" w:hAnsiTheme="minorHAnsi"/>
          <w:b/>
        </w:rPr>
      </w:pPr>
    </w:p>
    <w:p w:rsidR="00684E48" w:rsidRDefault="00684E48" w:rsidP="00753252">
      <w:pPr>
        <w:pStyle w:val="Default"/>
        <w:rPr>
          <w:rFonts w:asciiTheme="minorHAnsi" w:hAnsiTheme="minorHAnsi"/>
          <w:b/>
        </w:rPr>
      </w:pPr>
    </w:p>
    <w:p w:rsidR="00753252" w:rsidRPr="002E6CEF" w:rsidRDefault="00753252" w:rsidP="00753252">
      <w:pPr>
        <w:pStyle w:val="Default"/>
        <w:rPr>
          <w:rFonts w:asciiTheme="minorHAnsi" w:hAnsiTheme="minorHAnsi"/>
          <w:b/>
        </w:rPr>
      </w:pPr>
      <w:r w:rsidRPr="002E6CEF">
        <w:rPr>
          <w:rFonts w:asciiTheme="minorHAnsi" w:hAnsiTheme="minorHAnsi"/>
          <w:b/>
        </w:rPr>
        <w:t>CUPRINS</w:t>
      </w:r>
    </w:p>
    <w:p w:rsidR="00753252" w:rsidRPr="002E6CEF" w:rsidRDefault="00753252" w:rsidP="00C21AAA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2E6CEF">
        <w:rPr>
          <w:rFonts w:asciiTheme="minorHAnsi" w:hAnsiTheme="minorHAnsi"/>
        </w:rPr>
        <w:t>Scop</w:t>
      </w:r>
    </w:p>
    <w:p w:rsidR="00C21AAA" w:rsidRDefault="00753252" w:rsidP="00C21AAA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2E6CEF">
        <w:rPr>
          <w:rFonts w:asciiTheme="minorHAnsi" w:hAnsiTheme="minorHAnsi"/>
        </w:rPr>
        <w:t>Arie de cuprindere</w:t>
      </w:r>
    </w:p>
    <w:p w:rsidR="00753252" w:rsidRDefault="00753252" w:rsidP="00C21AAA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C21AAA">
        <w:rPr>
          <w:rFonts w:asciiTheme="minorHAnsi" w:hAnsiTheme="minorHAnsi"/>
        </w:rPr>
        <w:t>Responsabili</w:t>
      </w:r>
    </w:p>
    <w:p w:rsidR="00E064EE" w:rsidRPr="00C21AAA" w:rsidRDefault="00E064EE" w:rsidP="00C21AAA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Documente</w:t>
      </w:r>
    </w:p>
    <w:p w:rsidR="00753252" w:rsidRPr="007510C2" w:rsidRDefault="00753252" w:rsidP="00C21AAA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2E6CEF">
        <w:rPr>
          <w:rFonts w:asciiTheme="minorHAnsi" w:hAnsiTheme="minorHAnsi"/>
        </w:rPr>
        <w:t>Continut</w:t>
      </w:r>
    </w:p>
    <w:p w:rsidR="00753252" w:rsidRPr="002E6CEF" w:rsidRDefault="00753252" w:rsidP="00C21AAA">
      <w:pPr>
        <w:spacing w:after="0" w:line="240" w:lineRule="auto"/>
        <w:rPr>
          <w:b/>
          <w:sz w:val="24"/>
          <w:szCs w:val="24"/>
        </w:rPr>
      </w:pPr>
    </w:p>
    <w:p w:rsidR="00753252" w:rsidRPr="002E6CEF" w:rsidRDefault="00753252" w:rsidP="00753252">
      <w:pPr>
        <w:spacing w:after="0" w:line="240" w:lineRule="auto"/>
        <w:ind w:left="360"/>
        <w:rPr>
          <w:b/>
          <w:sz w:val="24"/>
          <w:szCs w:val="24"/>
        </w:rPr>
      </w:pPr>
    </w:p>
    <w:p w:rsidR="00753252" w:rsidRDefault="00753252" w:rsidP="00753252">
      <w:pPr>
        <w:spacing w:after="0" w:line="240" w:lineRule="auto"/>
        <w:rPr>
          <w:b/>
          <w:sz w:val="24"/>
          <w:szCs w:val="24"/>
        </w:rPr>
      </w:pPr>
      <w:r w:rsidRPr="002E6CEF">
        <w:rPr>
          <w:b/>
          <w:sz w:val="24"/>
          <w:szCs w:val="24"/>
        </w:rPr>
        <w:t>1.SCOP</w:t>
      </w:r>
    </w:p>
    <w:p w:rsidR="00C21AAA" w:rsidRPr="00523F7D" w:rsidRDefault="00523F7D" w:rsidP="006C1381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Prevenirea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actelor de coruptie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mentinerea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starii de integritate a personalului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ce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functioneaza in Scoala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Gimnaziala “George Cosbuc”, Ploiesti – respectarea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principiilor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raspunderii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publice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cel al transparentei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enuntate in art. 3 Legea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Educatiei</w:t>
      </w:r>
      <w:r w:rsidR="007334B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Nationale nr.1/ 2011 – si in OMEN 5144/ 26.09.2013, OMEN 5133/ 15 dec.2014 cu privire la riscurile de coruptie.</w:t>
      </w:r>
    </w:p>
    <w:p w:rsidR="00C21AAA" w:rsidRPr="00C21AAA" w:rsidRDefault="00C21AAA" w:rsidP="00753252">
      <w:pPr>
        <w:spacing w:after="0" w:line="240" w:lineRule="auto"/>
        <w:rPr>
          <w:sz w:val="24"/>
          <w:szCs w:val="24"/>
        </w:rPr>
      </w:pPr>
    </w:p>
    <w:p w:rsidR="00753252" w:rsidRPr="002E6CEF" w:rsidRDefault="007510C2" w:rsidP="007510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53252" w:rsidRPr="002E6CEF">
        <w:rPr>
          <w:b/>
          <w:sz w:val="24"/>
          <w:szCs w:val="24"/>
        </w:rPr>
        <w:t>ARIE DE CUPRINDERE</w:t>
      </w:r>
    </w:p>
    <w:p w:rsidR="00753252" w:rsidRPr="002E6CEF" w:rsidRDefault="00523F7D" w:rsidP="00753252">
      <w:pPr>
        <w:ind w:left="3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Procedura se aplică intregului personal din</w:t>
      </w:r>
      <w:r w:rsidR="007A7921">
        <w:rPr>
          <w:sz w:val="24"/>
          <w:szCs w:val="24"/>
          <w:lang w:val="pt-BR"/>
        </w:rPr>
        <w:t xml:space="preserve"> Scoala Gimnaziala “George Cosbuc”</w:t>
      </w:r>
      <w:r w:rsidR="00C21AAA">
        <w:rPr>
          <w:sz w:val="24"/>
          <w:szCs w:val="24"/>
          <w:lang w:val="pt-BR"/>
        </w:rPr>
        <w:t>.</w:t>
      </w:r>
    </w:p>
    <w:p w:rsidR="00753252" w:rsidRPr="002E6CEF" w:rsidRDefault="007510C2" w:rsidP="007510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53252" w:rsidRPr="002E6CEF">
        <w:rPr>
          <w:b/>
          <w:sz w:val="24"/>
          <w:szCs w:val="24"/>
        </w:rPr>
        <w:t>RESPONSABILI</w:t>
      </w:r>
    </w:p>
    <w:p w:rsidR="00753252" w:rsidRDefault="00753252" w:rsidP="00753252">
      <w:pPr>
        <w:ind w:left="360"/>
        <w:jc w:val="both"/>
        <w:rPr>
          <w:sz w:val="24"/>
          <w:szCs w:val="24"/>
        </w:rPr>
      </w:pPr>
      <w:r w:rsidRPr="002E6CEF">
        <w:rPr>
          <w:sz w:val="24"/>
          <w:szCs w:val="24"/>
        </w:rPr>
        <w:t xml:space="preserve">Procedura </w:t>
      </w:r>
      <w:r w:rsidR="00E064EE">
        <w:rPr>
          <w:sz w:val="24"/>
          <w:szCs w:val="24"/>
        </w:rPr>
        <w:t xml:space="preserve">este pusă în aplicare de către </w:t>
      </w:r>
      <w:r w:rsidR="007A7921">
        <w:rPr>
          <w:sz w:val="24"/>
          <w:szCs w:val="24"/>
        </w:rPr>
        <w:t>directorul Scolii Gimnaziale „George Cosbuc”</w:t>
      </w:r>
      <w:r w:rsidR="00E064EE">
        <w:rPr>
          <w:sz w:val="24"/>
          <w:szCs w:val="24"/>
        </w:rPr>
        <w:t xml:space="preserve">, </w:t>
      </w:r>
      <w:r w:rsidR="00984BEF">
        <w:rPr>
          <w:sz w:val="24"/>
          <w:szCs w:val="24"/>
        </w:rPr>
        <w:t>Comisia pentru prevenirea actelor de corupție în educație</w:t>
      </w:r>
      <w:r w:rsidR="00523F7D">
        <w:rPr>
          <w:sz w:val="24"/>
          <w:szCs w:val="24"/>
        </w:rPr>
        <w:t>,</w:t>
      </w:r>
      <w:r w:rsidR="001B27EF">
        <w:rPr>
          <w:sz w:val="24"/>
          <w:szCs w:val="24"/>
        </w:rPr>
        <w:t xml:space="preserve"> Consiliul de Administratie.</w:t>
      </w:r>
    </w:p>
    <w:p w:rsidR="00E064EE" w:rsidRDefault="00E064EE" w:rsidP="00E064EE">
      <w:pPr>
        <w:spacing w:after="0" w:line="240" w:lineRule="auto"/>
        <w:jc w:val="both"/>
        <w:rPr>
          <w:b/>
          <w:sz w:val="24"/>
          <w:szCs w:val="24"/>
        </w:rPr>
      </w:pPr>
      <w:r w:rsidRPr="002E6CE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DOCUMENTE</w:t>
      </w:r>
    </w:p>
    <w:p w:rsidR="00E064EE" w:rsidRPr="001B27EF" w:rsidRDefault="00E064EE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B27EF">
        <w:rPr>
          <w:sz w:val="24"/>
          <w:szCs w:val="24"/>
        </w:rPr>
        <w:t>Legea Educatiei  Nationale</w:t>
      </w:r>
      <w:r w:rsidR="001B27EF" w:rsidRPr="001B27EF">
        <w:rPr>
          <w:sz w:val="24"/>
          <w:szCs w:val="24"/>
        </w:rPr>
        <w:t xml:space="preserve"> nr. 1/ 2011  cu modificarile si completarile ulterioare;</w:t>
      </w:r>
    </w:p>
    <w:p w:rsidR="00E064EE" w:rsidRDefault="001B27EF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B27EF">
        <w:rPr>
          <w:sz w:val="24"/>
          <w:szCs w:val="24"/>
        </w:rPr>
        <w:t>Legea nr. 188</w:t>
      </w:r>
      <w:r w:rsidR="006B0450">
        <w:rPr>
          <w:sz w:val="24"/>
          <w:szCs w:val="24"/>
        </w:rPr>
        <w:t>/</w:t>
      </w:r>
      <w:r w:rsidRPr="001B27EF">
        <w:rPr>
          <w:sz w:val="24"/>
          <w:szCs w:val="24"/>
        </w:rPr>
        <w:t>1999 privind Statutul functionarilor publici, republicata, cu modificarile si completarile ulterioare;</w:t>
      </w:r>
    </w:p>
    <w:p w:rsidR="001B27EF" w:rsidRDefault="006B0450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nr. 7/</w:t>
      </w:r>
      <w:r w:rsidR="001B27EF">
        <w:rPr>
          <w:sz w:val="24"/>
          <w:szCs w:val="24"/>
        </w:rPr>
        <w:t>2004 privind Codul de conduita a functionarilor publici, republicata;</w:t>
      </w:r>
    </w:p>
    <w:p w:rsidR="001B27EF" w:rsidRDefault="006B0450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nr.477/</w:t>
      </w:r>
      <w:r w:rsidR="001B27EF">
        <w:rPr>
          <w:sz w:val="24"/>
          <w:szCs w:val="24"/>
        </w:rPr>
        <w:t>2004 privind Codul de conduita a personalului contractual din autoritatile si institutiile publice;</w:t>
      </w:r>
    </w:p>
    <w:p w:rsidR="001B27EF" w:rsidRDefault="001B27EF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nr.251/2004 privind unele masuri referitoare la bunurile primite cu titlu gratuit cu prilejul unor actiuni de protocol in exercitarea mandatului sau a functiei;</w:t>
      </w:r>
    </w:p>
    <w:p w:rsidR="001B27EF" w:rsidRDefault="001B27EF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nr</w:t>
      </w:r>
      <w:r w:rsidR="006B0450">
        <w:rPr>
          <w:sz w:val="24"/>
          <w:szCs w:val="24"/>
        </w:rPr>
        <w:t>. 161/</w:t>
      </w:r>
      <w:r>
        <w:rPr>
          <w:sz w:val="24"/>
          <w:szCs w:val="24"/>
        </w:rPr>
        <w:t>2003 privind unele masuri pentru asigurarea transparentei in exercitarea demnitatilor publice, a functiilor publice si in mediul de afaceri, prevenirea si sanctionarea coruptiei, cu modificarile si completarile ulterioare;</w:t>
      </w:r>
    </w:p>
    <w:p w:rsidR="001B27EF" w:rsidRDefault="001B27EF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nr. 115/1996 pentru declararea si controlul averilor demnitarilor, magistratilor, a unor persoane cu functii de conducere</w:t>
      </w:r>
      <w:r w:rsidR="006B0450">
        <w:rPr>
          <w:sz w:val="24"/>
          <w:szCs w:val="24"/>
        </w:rPr>
        <w:t xml:space="preserve"> si de control si a functionarilor publici, cu modificarile si completarile ulterioare;</w:t>
      </w:r>
    </w:p>
    <w:p w:rsidR="006B0450" w:rsidRDefault="006B0450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78/2000 pentru prevenirea, descoperirea si sanctionarea faptelor de coruptie, cu modificarile si completarile ulterioare;</w:t>
      </w:r>
    </w:p>
    <w:p w:rsidR="006B0450" w:rsidRDefault="006B0450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nr. 571/2004 privind protectia personalului din autoritatile publice, institutiile publice si din alte unitati care semnaleaza incalcari ale legii;</w:t>
      </w:r>
    </w:p>
    <w:p w:rsidR="006B0450" w:rsidRDefault="006B0450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Ordonanta de urgenta a Guvernului nr.75/2005 privind asigurarea calitatii educatiei, aprobata cu modificari prin Legea nr. 87/2006, cu modificarile si completarile ulterioare;</w:t>
      </w:r>
    </w:p>
    <w:p w:rsidR="006B0450" w:rsidRDefault="006B0450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Ordinul presedintelui Agentiei Nationale a Functionarilor Publici nr.1.200/2013 privind monitorizarea respectarii normelor de conduita de catre functionarii publici si a implementarii procedurilor disciplinare;</w:t>
      </w:r>
    </w:p>
    <w:p w:rsidR="006B0450" w:rsidRPr="001B27EF" w:rsidRDefault="006B0450" w:rsidP="001B27E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OSGG nr.400/2015 pentru aprobarea Codului controlului intern/managerial, cuprinzand standardele de control intern/managerial la entitatile publice si pentru dezvoltarea sistemelor de control intern/managerial, republicat,cu modificarile ulterioare.</w:t>
      </w:r>
    </w:p>
    <w:p w:rsidR="001B27EF" w:rsidRPr="00E064EE" w:rsidRDefault="001B27EF" w:rsidP="00E064EE">
      <w:pPr>
        <w:spacing w:after="0" w:line="240" w:lineRule="auto"/>
        <w:jc w:val="both"/>
        <w:rPr>
          <w:sz w:val="24"/>
          <w:szCs w:val="24"/>
        </w:rPr>
      </w:pPr>
    </w:p>
    <w:p w:rsidR="00E064EE" w:rsidRPr="002E6CEF" w:rsidRDefault="00E064EE" w:rsidP="00E064EE">
      <w:pPr>
        <w:jc w:val="both"/>
        <w:rPr>
          <w:sz w:val="24"/>
          <w:szCs w:val="24"/>
        </w:rPr>
      </w:pPr>
    </w:p>
    <w:p w:rsidR="00753252" w:rsidRDefault="00E064EE" w:rsidP="0075325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53252" w:rsidRPr="002E6CEF">
        <w:rPr>
          <w:b/>
          <w:sz w:val="24"/>
          <w:szCs w:val="24"/>
        </w:rPr>
        <w:t>.CONTINUT</w:t>
      </w:r>
    </w:p>
    <w:p w:rsidR="00E064EE" w:rsidRDefault="00E064EE" w:rsidP="00753252">
      <w:pPr>
        <w:spacing w:after="0" w:line="240" w:lineRule="auto"/>
        <w:jc w:val="both"/>
        <w:rPr>
          <w:b/>
          <w:sz w:val="24"/>
          <w:szCs w:val="24"/>
        </w:rPr>
      </w:pPr>
    </w:p>
    <w:p w:rsidR="003F79C5" w:rsidRDefault="003F79C5" w:rsidP="003F79C5">
      <w:pPr>
        <w:pStyle w:val="Listparagraf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Pentru a asigura principiul transparentei deciziilor si cel al raspunderii publice, </w:t>
      </w:r>
      <w:r w:rsidRPr="003F79C5">
        <w:rPr>
          <w:sz w:val="24"/>
          <w:szCs w:val="24"/>
        </w:rPr>
        <w:t>Scoala Gimnaziala „George Cosbuc”</w:t>
      </w:r>
      <w:r>
        <w:rPr>
          <w:sz w:val="24"/>
          <w:szCs w:val="24"/>
        </w:rPr>
        <w:t xml:space="preserve"> va afisa pe site-ul scolii lista minimala de documente ce sustin strategia anticoruptie: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OMEN 5144/26 sept.2013 – cu privire la strategia anticoruptie in sectorul educational;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OMEN 5133/15 dec.2014 – cu privire la Metodologia privind managementul riscurilor de coruptie;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OMEN 5115/ 15 dec.2014 – ROFUIP;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Legea Educatiei Nationale cu modificarile si completarile ulterioare;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ROI al unitatii de invatamant- conducerea MEN recomanda interdictia comercializarii manualelor si auxiliarelor de catre cadrele didactice din unitatile de invatamant;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ROI al asociatiei de parinti;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Raportul anual privind starea si calitatea invatamantului;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de solutionare a sesizarilor/reclamatiilor;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pentru semnalarea neregularitatilor la nivelul institutiei de invatamant;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de evaluare elevi; - conform OMEN 5115/15 dec.2014 –ROFUIP/2014 – Titlul VII Cap.5 Evaluarea beneficiarilor primari ai educatiei- art.183 – 209;</w:t>
      </w:r>
    </w:p>
    <w:p w:rsidR="003F79C5" w:rsidRDefault="003F79C5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de evaluare cadre didactice/ personalului didactic auxiliar si nedidactic OMECTS 6143/2011,</w:t>
      </w:r>
      <w:r w:rsidR="00B327A0">
        <w:rPr>
          <w:sz w:val="24"/>
          <w:szCs w:val="24"/>
        </w:rPr>
        <w:t xml:space="preserve"> modificat cu OMECTS 4613/28.06.2012 si completat cu OMEN 3597/18.06.2014;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privind asigurarea legalitatii actului decizional;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Codul de conduita al cadrelor didactice conform Legii Educatiei Nationale nr.1/2011 art.98 alin.1 lit b;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Codul de conduita al elevilor;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de stabilire a planului de achizitii;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pentru achizitiile directe;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 de proiectare a bugetului;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Resurse bugetare si extrabugetare si surse de provenienta;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Donatii facute scolii  si numarul lor de inregistrare ( cuprinderea lor in inventarul scolii- daca sunt echipamente, instalatii, mijloace, etc.);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Sumele colectate si scopul in care au fost utilizate fondurile colectate de catre Asociatia de parinti (semestrial);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Reglemantari in vigoare prin care Consiliul Reprezentativ al parintilor se poate constitui in  Asociatie cu personalitate juridica;</w:t>
      </w:r>
    </w:p>
    <w:p w:rsidR="00B327A0" w:rsidRDefault="00B327A0" w:rsidP="003F79C5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Activitati de formare si instruire a elevilor si a personalului scolii pe tematica prevenirii coruptiei:</w:t>
      </w:r>
    </w:p>
    <w:p w:rsidR="003F79C5" w:rsidRDefault="00B327A0" w:rsidP="00B327A0">
      <w:pPr>
        <w:pStyle w:val="List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Prezentarea principalelor incidente de integritate (fapte de coruptie</w:t>
      </w:r>
      <w:r w:rsidR="00634C40">
        <w:rPr>
          <w:sz w:val="24"/>
          <w:szCs w:val="24"/>
        </w:rPr>
        <w:t>) ce pot afecta starea de normalitate in entitatile finantate din fonduri publice (luarea de mita, darea de mita, primirea de foloase necuvenite, traficul de influenta, etc.);</w:t>
      </w:r>
    </w:p>
    <w:p w:rsidR="00634C40" w:rsidRDefault="00634C40" w:rsidP="00B327A0">
      <w:pPr>
        <w:pStyle w:val="List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Prezentarea incidentelor de integritate posibile in unitatile de invatamant (utilizarea abuziva a resurselor financiare, fraudarea examenelor de catre elevi/ cadre didactice, conditionarea evaluarii elevilor/ calitatii actului didactic de obtinerea oricarui tip de avantaje , etc.;</w:t>
      </w:r>
    </w:p>
    <w:p w:rsidR="00634C40" w:rsidRDefault="00634C40" w:rsidP="00B327A0">
      <w:pPr>
        <w:pStyle w:val="List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Prezentarea principalelor consecinte ale incalcarii cerintelor legislative.</w:t>
      </w:r>
      <w:r w:rsidR="00984BEF">
        <w:rPr>
          <w:sz w:val="24"/>
          <w:szCs w:val="24"/>
        </w:rPr>
        <w:t xml:space="preserve"> </w:t>
      </w:r>
      <w:r>
        <w:rPr>
          <w:sz w:val="24"/>
          <w:szCs w:val="24"/>
        </w:rPr>
        <w:t>Lista organismelor abilitate in consultanta pe teme anticoruptie.</w:t>
      </w:r>
    </w:p>
    <w:p w:rsidR="00634C40" w:rsidRPr="00634C40" w:rsidRDefault="00634C40" w:rsidP="00634C40">
      <w:pPr>
        <w:pStyle w:val="Listparagraf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Index legislativ pe teme anticoruptie;</w:t>
      </w:r>
    </w:p>
    <w:p w:rsidR="003F79C5" w:rsidRDefault="003F79C5" w:rsidP="003F79C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F79C5" w:rsidRDefault="00634C40" w:rsidP="00634C40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Responsabili: </w:t>
      </w:r>
      <w:r w:rsidRPr="00A152E5">
        <w:rPr>
          <w:sz w:val="24"/>
          <w:szCs w:val="24"/>
        </w:rPr>
        <w:t xml:space="preserve">directorul </w:t>
      </w:r>
      <w:r>
        <w:rPr>
          <w:sz w:val="24"/>
          <w:szCs w:val="24"/>
        </w:rPr>
        <w:t>scolii, Consiliul de Administratie</w:t>
      </w:r>
    </w:p>
    <w:p w:rsidR="003F79C5" w:rsidRDefault="003F79C5" w:rsidP="003F79C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F79C5" w:rsidRPr="00634C40" w:rsidRDefault="00634C40" w:rsidP="00634C4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Actualizarea periodica a listei de documente mai sus mentionate cu toate noutatile legislative si informatiile care sustin strategia anticoruptie propusa la nivelul sectorului educational.</w:t>
      </w:r>
    </w:p>
    <w:p w:rsidR="003F79C5" w:rsidRDefault="003F79C5" w:rsidP="003F79C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E6F0F" w:rsidRDefault="00634C40" w:rsidP="00425ADA">
      <w:pPr>
        <w:tabs>
          <w:tab w:val="left" w:pos="513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Responsabili: </w:t>
      </w:r>
      <w:r w:rsidRPr="00A152E5">
        <w:rPr>
          <w:sz w:val="24"/>
          <w:szCs w:val="24"/>
        </w:rPr>
        <w:t xml:space="preserve">directorul </w:t>
      </w:r>
      <w:r>
        <w:rPr>
          <w:sz w:val="24"/>
          <w:szCs w:val="24"/>
        </w:rPr>
        <w:t>scolii, Consiliul de Administratie</w:t>
      </w:r>
    </w:p>
    <w:p w:rsidR="00A744B5" w:rsidRDefault="00634C40" w:rsidP="00634C40">
      <w:pPr>
        <w:pStyle w:val="Listparagraf"/>
        <w:numPr>
          <w:ilvl w:val="0"/>
          <w:numId w:val="13"/>
        </w:numPr>
        <w:tabs>
          <w:tab w:val="left" w:pos="5130"/>
        </w:tabs>
      </w:pPr>
      <w:r>
        <w:t xml:space="preserve">Realizarea si punerea in practica a </w:t>
      </w:r>
      <w:r w:rsidRPr="00634C40">
        <w:rPr>
          <w:b/>
        </w:rPr>
        <w:t>Planului de Integritate</w:t>
      </w:r>
      <w:r w:rsidR="00984BEF">
        <w:rPr>
          <w:b/>
        </w:rPr>
        <w:t xml:space="preserve"> </w:t>
      </w:r>
      <w:r>
        <w:t>al unitatii de invatamant</w:t>
      </w:r>
      <w:r w:rsidR="00A744B5">
        <w:t xml:space="preserve"> in acord cu cerintele specifice OMEN 5144/26.09.2013.</w:t>
      </w:r>
    </w:p>
    <w:p w:rsidR="00A744B5" w:rsidRDefault="00A744B5" w:rsidP="00A744B5">
      <w:pPr>
        <w:tabs>
          <w:tab w:val="left" w:pos="3143"/>
          <w:tab w:val="left" w:pos="5130"/>
        </w:tabs>
        <w:rPr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Responsabili: </w:t>
      </w:r>
      <w:r w:rsidRPr="00A152E5">
        <w:rPr>
          <w:sz w:val="24"/>
          <w:szCs w:val="24"/>
        </w:rPr>
        <w:t xml:space="preserve">directorul </w:t>
      </w:r>
      <w:r>
        <w:rPr>
          <w:sz w:val="24"/>
          <w:szCs w:val="24"/>
        </w:rPr>
        <w:t xml:space="preserve">scolii, </w:t>
      </w:r>
      <w:r w:rsidR="00984BEF">
        <w:rPr>
          <w:sz w:val="24"/>
          <w:szCs w:val="24"/>
        </w:rPr>
        <w:t>Comisia PACE</w:t>
      </w:r>
    </w:p>
    <w:p w:rsidR="00A744B5" w:rsidRPr="00A744B5" w:rsidRDefault="00A744B5" w:rsidP="00A744B5">
      <w:pPr>
        <w:pStyle w:val="Listparagraf"/>
        <w:numPr>
          <w:ilvl w:val="0"/>
          <w:numId w:val="13"/>
        </w:numPr>
        <w:tabs>
          <w:tab w:val="left" w:pos="3143"/>
          <w:tab w:val="left" w:pos="5130"/>
        </w:tabs>
        <w:rPr>
          <w:sz w:val="24"/>
          <w:szCs w:val="24"/>
        </w:rPr>
      </w:pPr>
      <w:r>
        <w:t xml:space="preserve">Realizarea unui </w:t>
      </w:r>
      <w:r w:rsidRPr="00A744B5">
        <w:rPr>
          <w:b/>
        </w:rPr>
        <w:t>Raport anual</w:t>
      </w:r>
      <w:r>
        <w:t xml:space="preserve"> cu privire la gradul de realizare al masurilor propuse prin Planul de integritate mai sus mentionat.</w:t>
      </w:r>
      <w:r>
        <w:tab/>
      </w:r>
    </w:p>
    <w:p w:rsidR="00634C40" w:rsidRPr="00A744B5" w:rsidRDefault="00A744B5" w:rsidP="00A744B5">
      <w:pPr>
        <w:tabs>
          <w:tab w:val="left" w:pos="3681"/>
        </w:tabs>
      </w:pPr>
      <w:r>
        <w:tab/>
      </w:r>
      <w:r>
        <w:rPr>
          <w:b/>
          <w:sz w:val="24"/>
          <w:szCs w:val="24"/>
        </w:rPr>
        <w:t xml:space="preserve">Responsabili: </w:t>
      </w:r>
      <w:r w:rsidRPr="00A152E5">
        <w:rPr>
          <w:sz w:val="24"/>
          <w:szCs w:val="24"/>
        </w:rPr>
        <w:t xml:space="preserve">directorul </w:t>
      </w:r>
      <w:r>
        <w:rPr>
          <w:sz w:val="24"/>
          <w:szCs w:val="24"/>
        </w:rPr>
        <w:t>scolii</w:t>
      </w:r>
      <w:r w:rsidR="00984BEF">
        <w:rPr>
          <w:sz w:val="24"/>
          <w:szCs w:val="24"/>
        </w:rPr>
        <w:t>, Comisia PACE</w:t>
      </w:r>
    </w:p>
    <w:sectPr w:rsidR="00634C40" w:rsidRPr="00A744B5" w:rsidSect="00684E48">
      <w:headerReference w:type="default" r:id="rId8"/>
      <w:footerReference w:type="default" r:id="rId9"/>
      <w:head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88" w:rsidRDefault="00B01888" w:rsidP="002E6CEF">
      <w:pPr>
        <w:spacing w:after="0" w:line="240" w:lineRule="auto"/>
      </w:pPr>
      <w:r>
        <w:separator/>
      </w:r>
    </w:p>
  </w:endnote>
  <w:endnote w:type="continuationSeparator" w:id="1">
    <w:p w:rsidR="00B01888" w:rsidRDefault="00B01888" w:rsidP="002E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579083"/>
      <w:docPartObj>
        <w:docPartGallery w:val="Page Numbers (Bottom of Page)"/>
        <w:docPartUnique/>
      </w:docPartObj>
    </w:sdtPr>
    <w:sdtContent>
      <w:p w:rsidR="002E6CEF" w:rsidRDefault="0000137D">
        <w:pPr>
          <w:pStyle w:val="Subsol"/>
          <w:jc w:val="center"/>
        </w:pPr>
        <w:r>
          <w:fldChar w:fldCharType="begin"/>
        </w:r>
        <w:r w:rsidR="002E6CEF">
          <w:instrText>PAGE   \* MERGEFORMAT</w:instrText>
        </w:r>
        <w:r>
          <w:fldChar w:fldCharType="separate"/>
        </w:r>
        <w:r w:rsidR="009E2216">
          <w:rPr>
            <w:noProof/>
          </w:rPr>
          <w:t>4</w:t>
        </w:r>
        <w:r>
          <w:fldChar w:fldCharType="end"/>
        </w:r>
      </w:p>
    </w:sdtContent>
  </w:sdt>
  <w:p w:rsidR="002E6CEF" w:rsidRDefault="002E6CE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88" w:rsidRDefault="00B01888" w:rsidP="002E6CEF">
      <w:pPr>
        <w:spacing w:after="0" w:line="240" w:lineRule="auto"/>
      </w:pPr>
      <w:r>
        <w:separator/>
      </w:r>
    </w:p>
  </w:footnote>
  <w:footnote w:type="continuationSeparator" w:id="1">
    <w:p w:rsidR="00B01888" w:rsidRDefault="00B01888" w:rsidP="002E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alias w:val="Titlu"/>
      <w:id w:val="77547040"/>
      <w:placeholder>
        <w:docPart w:val="821556C6E68E455CBE356549DDA704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6CEF" w:rsidRDefault="002E6CEF">
        <w:pPr>
          <w:pStyle w:val="Antet"/>
          <w:pBdr>
            <w:between w:val="single" w:sz="4" w:space="1" w:color="4F81BD" w:themeColor="accent1"/>
          </w:pBdr>
          <w:spacing w:line="276" w:lineRule="auto"/>
          <w:jc w:val="center"/>
        </w:pPr>
        <w:r w:rsidRPr="002E6CEF">
          <w:rPr>
            <w:i/>
          </w:rPr>
          <w:t>Școala G</w:t>
        </w:r>
        <w:r>
          <w:rPr>
            <w:i/>
          </w:rPr>
          <w:t>imnazială George Coșbuc - Ploie</w:t>
        </w:r>
        <w:r w:rsidRPr="002E6CEF">
          <w:rPr>
            <w:i/>
          </w:rPr>
          <w:t>ști</w:t>
        </w:r>
      </w:p>
    </w:sdtContent>
  </w:sdt>
  <w:sdt>
    <w:sdtPr>
      <w:alias w:val="Data"/>
      <w:id w:val="77547044"/>
      <w:placeholder>
        <w:docPart w:val="ED752AE349454C15AED7AA81CA103EC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ro-RO"/>
        <w:storeMappedDataAs w:val="dateTime"/>
        <w:calendar w:val="gregorian"/>
      </w:date>
    </w:sdtPr>
    <w:sdtContent>
      <w:p w:rsidR="002E6CEF" w:rsidRDefault="00E66A38">
        <w:pPr>
          <w:pStyle w:val="Antet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CEAC    PO 41 </w:t>
        </w:r>
      </w:p>
    </w:sdtContent>
  </w:sdt>
  <w:p w:rsidR="002E6CEF" w:rsidRDefault="002E6CEF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C2" w:rsidRDefault="007510C2">
    <w:pPr>
      <w:pStyle w:val="Antet"/>
    </w:pPr>
    <w:r w:rsidRPr="00C43803">
      <w:rPr>
        <w:i/>
        <w:noProof/>
        <w:lang w:val="en-US" w:eastAsia="en-US"/>
      </w:rPr>
      <w:drawing>
        <wp:inline distT="0" distB="0" distL="0" distR="0">
          <wp:extent cx="5843905" cy="723568"/>
          <wp:effectExtent l="19050" t="0" r="4445" b="0"/>
          <wp:docPr id="4" name="Imagine 1" descr="D:\CEAC 2014-2015\MACULATOR\ANTET CEL MAI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AC 2014-2015\MACULATOR\ANTET CEL MAI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3" r="803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723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DF"/>
    <w:multiLevelType w:val="hybridMultilevel"/>
    <w:tmpl w:val="DDD865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6935CC9"/>
    <w:multiLevelType w:val="hybridMultilevel"/>
    <w:tmpl w:val="C1A203A2"/>
    <w:lvl w:ilvl="0" w:tplc="040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12F03A4E"/>
    <w:multiLevelType w:val="hybridMultilevel"/>
    <w:tmpl w:val="834C7F76"/>
    <w:lvl w:ilvl="0" w:tplc="4C9EBB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228A"/>
    <w:multiLevelType w:val="hybridMultilevel"/>
    <w:tmpl w:val="8B5841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DB7C52"/>
    <w:multiLevelType w:val="hybridMultilevel"/>
    <w:tmpl w:val="41FAA332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5">
    <w:nsid w:val="2C446692"/>
    <w:multiLevelType w:val="hybridMultilevel"/>
    <w:tmpl w:val="647E9F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2323FB"/>
    <w:multiLevelType w:val="hybridMultilevel"/>
    <w:tmpl w:val="3EE8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F47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983E94"/>
    <w:multiLevelType w:val="hybridMultilevel"/>
    <w:tmpl w:val="FC60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554CC"/>
    <w:multiLevelType w:val="hybridMultilevel"/>
    <w:tmpl w:val="3FDE7596"/>
    <w:lvl w:ilvl="0" w:tplc="B056415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D44B5A"/>
    <w:multiLevelType w:val="hybridMultilevel"/>
    <w:tmpl w:val="DDC21DA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6B595F"/>
    <w:multiLevelType w:val="hybridMultilevel"/>
    <w:tmpl w:val="6674EF2E"/>
    <w:lvl w:ilvl="0" w:tplc="C2024A0E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E992CE4"/>
    <w:multiLevelType w:val="hybridMultilevel"/>
    <w:tmpl w:val="E18EC2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037D41"/>
    <w:multiLevelType w:val="hybridMultilevel"/>
    <w:tmpl w:val="D6FE4D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7549CE"/>
    <w:multiLevelType w:val="hybridMultilevel"/>
    <w:tmpl w:val="05BA096A"/>
    <w:lvl w:ilvl="0" w:tplc="EB6C528A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3252"/>
    <w:rsid w:val="0000137D"/>
    <w:rsid w:val="000B1C0F"/>
    <w:rsid w:val="000B7CFA"/>
    <w:rsid w:val="001B27EF"/>
    <w:rsid w:val="002E6CEF"/>
    <w:rsid w:val="003F79C5"/>
    <w:rsid w:val="0040262D"/>
    <w:rsid w:val="00405BA2"/>
    <w:rsid w:val="00425ADA"/>
    <w:rsid w:val="004470CE"/>
    <w:rsid w:val="00523F7D"/>
    <w:rsid w:val="00546CEC"/>
    <w:rsid w:val="00555D44"/>
    <w:rsid w:val="00595291"/>
    <w:rsid w:val="005E3916"/>
    <w:rsid w:val="00634C40"/>
    <w:rsid w:val="00634CC6"/>
    <w:rsid w:val="00635260"/>
    <w:rsid w:val="00684E48"/>
    <w:rsid w:val="006A0430"/>
    <w:rsid w:val="006B0450"/>
    <w:rsid w:val="006C1381"/>
    <w:rsid w:val="007334B7"/>
    <w:rsid w:val="007510C2"/>
    <w:rsid w:val="00753252"/>
    <w:rsid w:val="0076298D"/>
    <w:rsid w:val="007974BE"/>
    <w:rsid w:val="007A7921"/>
    <w:rsid w:val="007D3008"/>
    <w:rsid w:val="00867E7E"/>
    <w:rsid w:val="008E15C8"/>
    <w:rsid w:val="008E6F0F"/>
    <w:rsid w:val="00984BEF"/>
    <w:rsid w:val="009E2216"/>
    <w:rsid w:val="00A152E5"/>
    <w:rsid w:val="00A34538"/>
    <w:rsid w:val="00A47F44"/>
    <w:rsid w:val="00A744B5"/>
    <w:rsid w:val="00AA5A9E"/>
    <w:rsid w:val="00AC0872"/>
    <w:rsid w:val="00B01888"/>
    <w:rsid w:val="00B327A0"/>
    <w:rsid w:val="00B71193"/>
    <w:rsid w:val="00C20F22"/>
    <w:rsid w:val="00C21AAA"/>
    <w:rsid w:val="00CA6354"/>
    <w:rsid w:val="00D969EC"/>
    <w:rsid w:val="00DB3184"/>
    <w:rsid w:val="00E064EE"/>
    <w:rsid w:val="00E32EC0"/>
    <w:rsid w:val="00E66A38"/>
    <w:rsid w:val="00EF3F35"/>
    <w:rsid w:val="00EF681D"/>
    <w:rsid w:val="00F1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91"/>
  </w:style>
  <w:style w:type="paragraph" w:styleId="Titlu5">
    <w:name w:val="heading 5"/>
    <w:basedOn w:val="Normal"/>
    <w:next w:val="Normal"/>
    <w:link w:val="Titlu5Caracter"/>
    <w:qFormat/>
    <w:rsid w:val="00753252"/>
    <w:pPr>
      <w:keepNext/>
      <w:spacing w:after="0" w:line="240" w:lineRule="auto"/>
      <w:outlineLvl w:val="4"/>
    </w:pPr>
    <w:rPr>
      <w:rFonts w:ascii="Tahoma" w:eastAsia="Times New Roman" w:hAnsi="Tahoma" w:cs="Times New Roman"/>
      <w:b/>
      <w:sz w:val="26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753252"/>
    <w:rPr>
      <w:rFonts w:ascii="Tahoma" w:eastAsia="Times New Roman" w:hAnsi="Tahoma" w:cs="Times New Roman"/>
      <w:b/>
      <w:sz w:val="26"/>
      <w:szCs w:val="20"/>
    </w:rPr>
  </w:style>
  <w:style w:type="paragraph" w:customStyle="1" w:styleId="Default">
    <w:name w:val="Default"/>
    <w:rsid w:val="007532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2E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E6CEF"/>
  </w:style>
  <w:style w:type="paragraph" w:styleId="Subsol">
    <w:name w:val="footer"/>
    <w:basedOn w:val="Normal"/>
    <w:link w:val="SubsolCaracter"/>
    <w:uiPriority w:val="99"/>
    <w:unhideWhenUsed/>
    <w:rsid w:val="002E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E6CEF"/>
  </w:style>
  <w:style w:type="paragraph" w:styleId="TextnBalon">
    <w:name w:val="Balloon Text"/>
    <w:basedOn w:val="Normal"/>
    <w:link w:val="TextnBalonCaracter"/>
    <w:uiPriority w:val="99"/>
    <w:semiHidden/>
    <w:unhideWhenUsed/>
    <w:rsid w:val="002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E6CEF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75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5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53252"/>
    <w:pPr>
      <w:keepNext/>
      <w:spacing w:after="0" w:line="240" w:lineRule="auto"/>
      <w:outlineLvl w:val="4"/>
    </w:pPr>
    <w:rPr>
      <w:rFonts w:ascii="Tahoma" w:eastAsia="Times New Roman" w:hAnsi="Tahoma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53252"/>
    <w:rPr>
      <w:rFonts w:ascii="Tahoma" w:eastAsia="Times New Roman" w:hAnsi="Tahoma" w:cs="Times New Roman"/>
      <w:b/>
      <w:sz w:val="26"/>
      <w:szCs w:val="20"/>
    </w:rPr>
  </w:style>
  <w:style w:type="paragraph" w:customStyle="1" w:styleId="Default">
    <w:name w:val="Default"/>
    <w:rsid w:val="007532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F"/>
  </w:style>
  <w:style w:type="paragraph" w:styleId="Footer">
    <w:name w:val="footer"/>
    <w:basedOn w:val="Normal"/>
    <w:link w:val="FooterChar"/>
    <w:uiPriority w:val="99"/>
    <w:unhideWhenUsed/>
    <w:rsid w:val="002E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F"/>
  </w:style>
  <w:style w:type="paragraph" w:styleId="BalloonText">
    <w:name w:val="Balloon Text"/>
    <w:basedOn w:val="Normal"/>
    <w:link w:val="BalloonTextChar"/>
    <w:uiPriority w:val="99"/>
    <w:semiHidden/>
    <w:unhideWhenUsed/>
    <w:rsid w:val="002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1556C6E68E455CBE356549DDA7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D35A-A808-4558-9E98-A39B39699EBD}"/>
      </w:docPartPr>
      <w:docPartBody>
        <w:p w:rsidR="00D11ED5" w:rsidRDefault="002D0346" w:rsidP="002D0346">
          <w:pPr>
            <w:pStyle w:val="821556C6E68E455CBE356549DDA70464"/>
          </w:pPr>
          <w:r>
            <w:t>[Titlul documentului]</w:t>
          </w:r>
        </w:p>
      </w:docPartBody>
    </w:docPart>
    <w:docPart>
      <w:docPartPr>
        <w:name w:val="ED752AE349454C15AED7AA81CA10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918A-D371-4C3C-A133-655AE4920A9F}"/>
      </w:docPartPr>
      <w:docPartBody>
        <w:p w:rsidR="00D11ED5" w:rsidRDefault="002D0346" w:rsidP="002D0346">
          <w:pPr>
            <w:pStyle w:val="ED752AE349454C15AED7AA81CA103EC8"/>
          </w:pPr>
          <w:r>
            <w:t>[Alegeți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0346"/>
    <w:rsid w:val="002B7445"/>
    <w:rsid w:val="002D0346"/>
    <w:rsid w:val="00451BC2"/>
    <w:rsid w:val="008655D8"/>
    <w:rsid w:val="008E37FA"/>
    <w:rsid w:val="008E5FC2"/>
    <w:rsid w:val="00963716"/>
    <w:rsid w:val="00A144E2"/>
    <w:rsid w:val="00B64C80"/>
    <w:rsid w:val="00D11ED5"/>
    <w:rsid w:val="00EC2818"/>
    <w:rsid w:val="00EC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D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821556C6E68E455CBE356549DDA70464">
    <w:name w:val="821556C6E68E455CBE356549DDA70464"/>
    <w:rsid w:val="002D0346"/>
  </w:style>
  <w:style w:type="paragraph" w:customStyle="1" w:styleId="ED752AE349454C15AED7AA81CA103EC8">
    <w:name w:val="ED752AE349454C15AED7AA81CA103EC8"/>
    <w:rsid w:val="002D03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CEAC    PO 41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Școala Gimnazială George Coșbuc - Ploiești</vt:lpstr>
      <vt:lpstr>Școala Gimnazială George Coșbuc - Ploiești</vt:lpstr>
    </vt:vector>
  </TitlesOfParts>
  <Company>Unitate Scolara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Gimnazială George Coșbuc - Ploiești</dc:title>
  <dc:creator>Irina</dc:creator>
  <cp:lastModifiedBy>admin</cp:lastModifiedBy>
  <cp:revision>5</cp:revision>
  <cp:lastPrinted>2015-11-19T11:47:00Z</cp:lastPrinted>
  <dcterms:created xsi:type="dcterms:W3CDTF">2015-11-19T11:39:00Z</dcterms:created>
  <dcterms:modified xsi:type="dcterms:W3CDTF">2015-11-19T11:48:00Z</dcterms:modified>
</cp:coreProperties>
</file>